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2023062</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(周</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）隆安县丁当林场基地</w:t>
      </w:r>
    </w:p>
    <w:p>
      <w:pPr>
        <w:ind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营林物资采购交易项目</w:t>
      </w:r>
    </w:p>
    <w:p>
      <w:pPr>
        <w:ind w:firstLineChars="200"/>
        <w:jc w:val="center"/>
        <w:rPr>
          <w:rFonts w:hint="eastAsia" w:ascii="仿宋_GB2312" w:hAnsi="仿宋_GB2312" w:eastAsia="仿宋_GB2312" w:cs="仿宋_GB2312"/>
          <w:b/>
          <w:bCs/>
          <w:sz w:val="32"/>
          <w:szCs w:val="32"/>
          <w:lang w:val="en-US" w:eastAsia="zh-CN"/>
        </w:rPr>
      </w:pPr>
    </w:p>
    <w:p>
      <w:pPr>
        <w:ind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南宁市农村产权流转交易中心</w:t>
      </w:r>
      <w:r>
        <w:rPr>
          <w:rFonts w:hint="eastAsia" w:ascii="仿宋_GB2312" w:hAnsi="仿宋_GB2312" w:eastAsia="仿宋_GB2312" w:cs="仿宋_GB2312"/>
          <w:b w:val="0"/>
          <w:bCs w:val="0"/>
          <w:sz w:val="32"/>
          <w:szCs w:val="32"/>
          <w:lang w:val="en-US" w:eastAsia="zh-CN"/>
        </w:rPr>
        <w:t>（以下简称：南宁中心）</w:t>
      </w:r>
      <w:r>
        <w:rPr>
          <w:rFonts w:hint="default" w:ascii="仿宋_GB2312" w:hAnsi="仿宋_GB2312" w:eastAsia="仿宋_GB2312" w:cs="仿宋_GB2312"/>
          <w:b w:val="0"/>
          <w:bCs w:val="0"/>
          <w:sz w:val="32"/>
          <w:szCs w:val="32"/>
          <w:lang w:val="en-US" w:eastAsia="zh-CN"/>
        </w:rPr>
        <w:t>受</w:t>
      </w:r>
      <w:r>
        <w:rPr>
          <w:rFonts w:hint="eastAsia" w:ascii="仿宋_GB2312" w:hAnsi="仿宋_GB2312" w:eastAsia="仿宋_GB2312" w:cs="仿宋_GB2312"/>
          <w:b w:val="0"/>
          <w:bCs w:val="0"/>
          <w:sz w:val="32"/>
          <w:szCs w:val="32"/>
        </w:rPr>
        <w:t>南宁市罗文林业投资有限责任公司</w:t>
      </w:r>
      <w:r>
        <w:rPr>
          <w:rFonts w:hint="default" w:ascii="仿宋_GB2312" w:hAnsi="仿宋_GB2312" w:eastAsia="仿宋_GB2312" w:cs="仿宋_GB2312"/>
          <w:b w:val="0"/>
          <w:bCs w:val="0"/>
          <w:sz w:val="32"/>
          <w:szCs w:val="32"/>
          <w:lang w:val="en-US" w:eastAsia="zh-CN"/>
        </w:rPr>
        <w:t>委托，定于</w:t>
      </w:r>
      <w:r>
        <w:rPr>
          <w:rFonts w:hint="eastAsia" w:ascii="仿宋_GB2312" w:hAnsi="仿宋_GB2312" w:eastAsia="仿宋_GB2312" w:cs="仿宋_GB2312"/>
          <w:b w:val="0"/>
          <w:bCs w:val="0"/>
          <w:sz w:val="32"/>
          <w:szCs w:val="32"/>
          <w:lang w:val="en-US" w:eastAsia="zh-CN"/>
        </w:rPr>
        <w:t>2023年06月26日上</w:t>
      </w:r>
      <w:r>
        <w:rPr>
          <w:rFonts w:hint="default" w:ascii="仿宋_GB2312" w:hAnsi="仿宋_GB2312" w:eastAsia="仿宋_GB2312" w:cs="仿宋_GB2312"/>
          <w:b w:val="0"/>
          <w:bCs w:val="0"/>
          <w:sz w:val="32"/>
          <w:szCs w:val="32"/>
          <w:lang w:val="en-US" w:eastAsia="zh-CN"/>
        </w:rPr>
        <w:t>午</w:t>
      </w:r>
      <w:r>
        <w:rPr>
          <w:rFonts w:hint="eastAsia" w:ascii="仿宋_GB2312" w:hAnsi="仿宋_GB2312" w:eastAsia="仿宋_GB2312" w:cs="仿宋_GB2312"/>
          <w:b w:val="0"/>
          <w:bCs w:val="0"/>
          <w:sz w:val="32"/>
          <w:szCs w:val="32"/>
          <w:lang w:val="en-US" w:eastAsia="zh-CN"/>
        </w:rPr>
        <w:t>9</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lang w:val="en-US" w:eastAsia="zh-CN"/>
        </w:rPr>
        <w:t>0举办</w:t>
      </w:r>
      <w:r>
        <w:rPr>
          <w:rFonts w:hint="eastAsia" w:ascii="仿宋_GB2312" w:hAnsi="仿宋_GB2312" w:eastAsia="仿宋_GB2312" w:cs="仿宋_GB2312"/>
          <w:b w:val="0"/>
          <w:bCs w:val="0"/>
          <w:sz w:val="32"/>
          <w:szCs w:val="32"/>
        </w:rPr>
        <w:t>20230</w:t>
      </w:r>
      <w:r>
        <w:rPr>
          <w:rFonts w:hint="eastAsia" w:ascii="仿宋_GB2312" w:hAnsi="仿宋_GB2312" w:eastAsia="仿宋_GB2312" w:cs="仿宋_GB2312"/>
          <w:b w:val="0"/>
          <w:bCs w:val="0"/>
          <w:sz w:val="32"/>
          <w:szCs w:val="32"/>
          <w:lang w:val="en-US" w:eastAsia="zh-CN"/>
        </w:rPr>
        <w:t>626（</w:t>
      </w:r>
      <w:r>
        <w:rPr>
          <w:rFonts w:hint="eastAsia" w:ascii="仿宋_GB2312" w:hAnsi="仿宋_GB2312" w:eastAsia="仿宋_GB2312" w:cs="仿宋_GB2312"/>
          <w:b w:val="0"/>
          <w:bCs w:val="0"/>
          <w:sz w:val="32"/>
          <w:szCs w:val="32"/>
        </w:rPr>
        <w:t>周</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隆安县丁当林场基地营林物资采购交易项目</w:t>
      </w:r>
      <w:r>
        <w:rPr>
          <w:rFonts w:hint="eastAsia" w:ascii="仿宋_GB2312" w:hAnsi="仿宋_GB2312" w:eastAsia="仿宋_GB2312" w:cs="仿宋_GB2312"/>
          <w:b w:val="0"/>
          <w:bCs w:val="0"/>
          <w:sz w:val="32"/>
          <w:szCs w:val="32"/>
          <w:lang w:val="en-US" w:eastAsia="zh-CN"/>
        </w:rPr>
        <w:t>电子</w:t>
      </w:r>
      <w:r>
        <w:rPr>
          <w:rFonts w:hint="default" w:ascii="仿宋_GB2312" w:hAnsi="仿宋_GB2312" w:eastAsia="仿宋_GB2312" w:cs="仿宋_GB2312"/>
          <w:b w:val="0"/>
          <w:bCs w:val="0"/>
          <w:sz w:val="32"/>
          <w:szCs w:val="32"/>
          <w:lang w:val="en-US" w:eastAsia="zh-CN"/>
        </w:rPr>
        <w:t>竞价，现就相关事项公告如下：</w:t>
      </w:r>
    </w:p>
    <w:p>
      <w:pPr>
        <w:widowControl w:val="0"/>
        <w:numPr>
          <w:ilvl w:val="0"/>
          <w:numId w:val="1"/>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交易清单</w:t>
      </w:r>
    </w:p>
    <w:p>
      <w:pPr>
        <w:widowControl w:val="0"/>
        <w:numPr>
          <w:ilvl w:val="-1"/>
          <w:numId w:val="0"/>
        </w:numPr>
        <w:ind w:firstLine="0" w:firstLineChars="0"/>
        <w:jc w:val="both"/>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drawing>
          <wp:inline distT="0" distB="0" distL="114300" distR="114300">
            <wp:extent cx="5248275" cy="1918335"/>
            <wp:effectExtent l="0" t="0" r="9525" b="5715"/>
            <wp:docPr id="1" name="图片 1" descr="4965a54b4ee1e54f77082306cadaa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65a54b4ee1e54f77082306cadaae5"/>
                    <pic:cNvPicPr>
                      <a:picLocks noChangeAspect="1"/>
                    </pic:cNvPicPr>
                  </pic:nvPicPr>
                  <pic:blipFill>
                    <a:blip r:embed="rId5"/>
                    <a:stretch>
                      <a:fillRect/>
                    </a:stretch>
                  </pic:blipFill>
                  <pic:spPr>
                    <a:xfrm>
                      <a:off x="0" y="0"/>
                      <a:ext cx="5248275" cy="1918335"/>
                    </a:xfrm>
                    <a:prstGeom prst="rect">
                      <a:avLst/>
                    </a:prstGeom>
                  </pic:spPr>
                </pic:pic>
              </a:graphicData>
            </a:graphic>
          </wp:inline>
        </w:drawing>
      </w:r>
    </w:p>
    <w:p>
      <w:pPr>
        <w:widowControl w:val="0"/>
        <w:numPr>
          <w:ilvl w:val="0"/>
          <w:numId w:val="0"/>
        </w:numPr>
        <w:ind w:firstLineChars="200"/>
        <w:jc w:val="both"/>
        <w:rPr>
          <w:rFonts w:hint="default" w:ascii="仿宋_GB2312" w:hAnsi="仿宋_GB2312" w:eastAsia="仿宋_GB2312" w:cs="仿宋_GB2312"/>
          <w:b/>
          <w:bCs/>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val="0"/>
        <w:numPr>
          <w:ilvl w:val="0"/>
          <w:numId w:val="0"/>
        </w:num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、报名方式、截止时间</w:t>
      </w:r>
      <w:r>
        <w:rPr>
          <w:rFonts w:hint="eastAsia" w:ascii="仿宋_GB2312" w:hAnsi="仿宋_GB2312" w:eastAsia="仿宋_GB2312" w:cs="仿宋_GB2312"/>
          <w:b/>
          <w:bCs/>
          <w:sz w:val="32"/>
          <w:szCs w:val="32"/>
          <w:lang w:val="en-US" w:eastAsia="zh-CN"/>
        </w:rPr>
        <w:t>、交易方式、</w:t>
      </w:r>
      <w:r>
        <w:rPr>
          <w:rFonts w:hint="default" w:ascii="仿宋_GB2312" w:hAnsi="仿宋_GB2312" w:eastAsia="仿宋_GB2312" w:cs="仿宋_GB2312"/>
          <w:b/>
          <w:bCs/>
          <w:sz w:val="32"/>
          <w:szCs w:val="32"/>
          <w:lang w:val="en-US" w:eastAsia="zh-CN"/>
        </w:rPr>
        <w:t>看样</w:t>
      </w:r>
    </w:p>
    <w:p>
      <w:pPr>
        <w:widowControl w:val="0"/>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1．参加交易的</w:t>
      </w:r>
      <w:r>
        <w:rPr>
          <w:rFonts w:hint="eastAsia" w:ascii="仿宋_GB2312" w:hAnsi="仿宋_GB2312" w:eastAsia="仿宋_GB2312" w:cs="仿宋_GB2312"/>
          <w:b w:val="0"/>
          <w:bCs w:val="0"/>
          <w:sz w:val="32"/>
          <w:szCs w:val="32"/>
          <w:lang w:val="en-US" w:eastAsia="zh-CN"/>
        </w:rPr>
        <w:t>意向摘牌方</w:t>
      </w:r>
      <w:r>
        <w:rPr>
          <w:rFonts w:hint="default" w:ascii="仿宋_GB2312" w:hAnsi="仿宋_GB2312" w:eastAsia="仿宋_GB2312" w:cs="仿宋_GB2312"/>
          <w:b w:val="0"/>
          <w:bCs w:val="0"/>
          <w:sz w:val="32"/>
          <w:szCs w:val="32"/>
          <w:lang w:val="en-US" w:eastAsia="zh-CN"/>
        </w:rPr>
        <w:t>须在2023年0</w:t>
      </w: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lang w:val="en-US" w:eastAsia="zh-CN"/>
        </w:rPr>
        <w:t>25</w:t>
      </w:r>
      <w:r>
        <w:rPr>
          <w:rFonts w:hint="default" w:ascii="仿宋_GB2312" w:hAnsi="仿宋_GB2312" w:eastAsia="仿宋_GB2312" w:cs="仿宋_GB2312"/>
          <w:b w:val="0"/>
          <w:bCs w:val="0"/>
          <w:sz w:val="32"/>
          <w:szCs w:val="32"/>
          <w:lang w:val="en-US" w:eastAsia="zh-CN"/>
        </w:rPr>
        <w:t>日1</w:t>
      </w: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:00前按要求办理网站（https://nanning.nongjiao.com）账号注册并</w:t>
      </w:r>
      <w:r>
        <w:rPr>
          <w:rFonts w:hint="eastAsia" w:ascii="仿宋_GB2312" w:hAnsi="仿宋_GB2312" w:eastAsia="仿宋_GB2312" w:cs="仿宋_GB2312"/>
          <w:b w:val="0"/>
          <w:bCs w:val="0"/>
          <w:sz w:val="32"/>
          <w:szCs w:val="32"/>
          <w:lang w:val="en-US" w:eastAsia="zh-CN"/>
        </w:rPr>
        <w:t>进入</w:t>
      </w:r>
      <w:r>
        <w:rPr>
          <w:rFonts w:hint="eastAsia" w:ascii="仿宋_GB2312" w:hAnsi="仿宋_GB2312" w:eastAsia="仿宋_GB2312" w:cs="仿宋_GB2312"/>
          <w:b w:val="0"/>
          <w:bCs w:val="0"/>
          <w:sz w:val="32"/>
          <w:szCs w:val="32"/>
          <w:u w:val="none"/>
          <w:lang w:val="en-US" w:eastAsia="zh-CN"/>
        </w:rPr>
        <w:t>竞拍大厅</w:t>
      </w:r>
      <w:r>
        <w:rPr>
          <w:rFonts w:hint="eastAsia" w:ascii="仿宋_GB2312" w:hAnsi="仿宋_GB2312" w:eastAsia="仿宋_GB2312" w:cs="仿宋_GB2312"/>
          <w:b w:val="0"/>
          <w:bCs w:val="0"/>
          <w:sz w:val="32"/>
          <w:szCs w:val="32"/>
          <w:lang w:val="en-US" w:eastAsia="zh-CN"/>
        </w:rPr>
        <w:t>按对应项目</w:t>
      </w:r>
      <w:r>
        <w:rPr>
          <w:rFonts w:hint="default" w:ascii="仿宋_GB2312" w:hAnsi="仿宋_GB2312" w:eastAsia="仿宋_GB2312" w:cs="仿宋_GB2312"/>
          <w:b w:val="0"/>
          <w:bCs w:val="0"/>
          <w:sz w:val="32"/>
          <w:szCs w:val="32"/>
          <w:lang w:val="en-US" w:eastAsia="zh-CN"/>
        </w:rPr>
        <w:t>报名</w:t>
      </w:r>
      <w:r>
        <w:rPr>
          <w:rFonts w:hint="eastAsia" w:ascii="仿宋_GB2312" w:hAnsi="仿宋_GB2312" w:eastAsia="仿宋_GB2312" w:cs="仿宋_GB2312"/>
          <w:b w:val="0"/>
          <w:bCs w:val="0"/>
          <w:sz w:val="32"/>
          <w:szCs w:val="32"/>
          <w:lang w:val="en-US" w:eastAsia="zh-CN"/>
        </w:rPr>
        <w:t>（意向摘牌方如为自然人需上传个人身份证明文件，如为法人组织需上传有效期内的营业执照或主体资格证明文件，代办的还需提供授权委托书、经办人身份证）。</w:t>
      </w:r>
    </w:p>
    <w:p>
      <w:pPr>
        <w:widowControl w:val="0"/>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2.意向摘牌方</w:t>
      </w:r>
      <w:r>
        <w:rPr>
          <w:rFonts w:hint="default" w:ascii="仿宋_GB2312" w:hAnsi="仿宋_GB2312" w:eastAsia="仿宋_GB2312" w:cs="仿宋_GB2312"/>
          <w:b w:val="0"/>
          <w:bCs w:val="0"/>
          <w:sz w:val="32"/>
          <w:szCs w:val="32"/>
          <w:lang w:val="en-US" w:eastAsia="zh-CN"/>
        </w:rPr>
        <w:t>须在2023年0</w:t>
      </w: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lang w:val="en-US" w:eastAsia="zh-CN"/>
        </w:rPr>
        <w:t>25</w:t>
      </w:r>
      <w:r>
        <w:rPr>
          <w:rFonts w:hint="default" w:ascii="仿宋_GB2312" w:hAnsi="仿宋_GB2312" w:eastAsia="仿宋_GB2312" w:cs="仿宋_GB2312"/>
          <w:b w:val="0"/>
          <w:bCs w:val="0"/>
          <w:sz w:val="32"/>
          <w:szCs w:val="32"/>
          <w:lang w:val="en-US" w:eastAsia="zh-CN"/>
        </w:rPr>
        <w:t>日1</w:t>
      </w: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:00前缴纳保证金。（以保证金到账时间为准）</w:t>
      </w:r>
      <w:r>
        <w:rPr>
          <w:rFonts w:hint="eastAsia" w:ascii="仿宋_GB2312" w:hAnsi="仿宋_GB2312" w:eastAsia="仿宋_GB2312" w:cs="仿宋_GB2312"/>
          <w:b w:val="0"/>
          <w:bCs w:val="0"/>
          <w:sz w:val="32"/>
          <w:szCs w:val="32"/>
          <w:lang w:val="en-US" w:eastAsia="zh-CN"/>
        </w:rPr>
        <w:t>。</w:t>
      </w:r>
    </w:p>
    <w:p>
      <w:pPr>
        <w:widowControl w:val="0"/>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交易方式：参加交易的</w:t>
      </w:r>
      <w:r>
        <w:rPr>
          <w:rFonts w:hint="eastAsia" w:ascii="仿宋_GB2312" w:hAnsi="仿宋_GB2312" w:eastAsia="仿宋_GB2312" w:cs="仿宋_GB2312"/>
          <w:b w:val="0"/>
          <w:bCs w:val="0"/>
          <w:sz w:val="32"/>
          <w:szCs w:val="32"/>
          <w:lang w:val="en-US" w:eastAsia="zh-CN"/>
        </w:rPr>
        <w:t>意向摘牌方</w:t>
      </w:r>
      <w:r>
        <w:rPr>
          <w:rFonts w:hint="default" w:ascii="仿宋_GB2312" w:hAnsi="仿宋_GB2312" w:eastAsia="仿宋_GB2312" w:cs="仿宋_GB2312"/>
          <w:b w:val="0"/>
          <w:bCs w:val="0"/>
          <w:sz w:val="32"/>
          <w:szCs w:val="32"/>
          <w:lang w:val="en-US" w:eastAsia="zh-CN"/>
        </w:rPr>
        <w:t>按时登录南宁市农村产权流转交易中心官方网站（https://nanning.nongjiao.com），进入竞拍大厅进行</w:t>
      </w:r>
      <w:r>
        <w:rPr>
          <w:rFonts w:hint="eastAsia" w:ascii="仿宋_GB2312" w:hAnsi="仿宋_GB2312" w:eastAsia="仿宋_GB2312" w:cs="仿宋_GB2312"/>
          <w:b w:val="0"/>
          <w:bCs w:val="0"/>
          <w:sz w:val="32"/>
          <w:szCs w:val="32"/>
          <w:lang w:val="en-US" w:eastAsia="zh-CN"/>
        </w:rPr>
        <w:t>竞价</w:t>
      </w:r>
      <w:r>
        <w:rPr>
          <w:rFonts w:hint="default" w:ascii="仿宋_GB2312" w:hAnsi="仿宋_GB2312" w:eastAsia="仿宋_GB2312" w:cs="仿宋_GB2312"/>
          <w:b w:val="0"/>
          <w:bCs w:val="0"/>
          <w:sz w:val="32"/>
          <w:szCs w:val="32"/>
          <w:lang w:val="en-US" w:eastAsia="zh-CN"/>
        </w:rPr>
        <w:t>交易。</w:t>
      </w:r>
    </w:p>
    <w:p>
      <w:pPr>
        <w:widowControl w:val="0"/>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．看样：由</w:t>
      </w:r>
      <w:r>
        <w:rPr>
          <w:rFonts w:hint="eastAsia" w:ascii="仿宋_GB2312" w:hAnsi="仿宋_GB2312" w:eastAsia="仿宋_GB2312" w:cs="仿宋_GB2312"/>
          <w:b w:val="0"/>
          <w:bCs w:val="0"/>
          <w:sz w:val="32"/>
          <w:szCs w:val="32"/>
          <w:lang w:val="en-US" w:eastAsia="zh-CN"/>
        </w:rPr>
        <w:t>意向摘牌方在截止日前自行联系看样联系人看样（联系方式详见交易清单）。</w:t>
      </w:r>
    </w:p>
    <w:p>
      <w:pPr>
        <w:numPr>
          <w:ilvl w:val="0"/>
          <w:numId w:val="0"/>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报价方式及时间安排</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公告期限</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自公告之日起至</w:t>
      </w:r>
      <w:r>
        <w:rPr>
          <w:rFonts w:hint="default"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25</w:t>
      </w:r>
      <w:r>
        <w:rPr>
          <w:rFonts w:hint="default"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17:00。</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自由竞价阶段: 2023年</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26日9</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延时周期：最后三分钟内有人出价竞拍时间延时3分钟（180秒）     </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报价方式: </w:t>
      </w:r>
      <w:r>
        <w:rPr>
          <w:rFonts w:hint="eastAsia" w:ascii="仿宋_GB2312" w:hAnsi="仿宋_GB2312" w:eastAsia="仿宋_GB2312" w:cs="仿宋_GB2312"/>
          <w:color w:val="auto"/>
          <w:sz w:val="32"/>
          <w:szCs w:val="32"/>
        </w:rPr>
        <w:t>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p>
    <w:p>
      <w:pPr>
        <w:numPr>
          <w:ilvl w:val="0"/>
          <w:numId w:val="0"/>
        </w:numPr>
        <w:ind w:leftChars="20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四、交易服务费</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标的成交的，</w:t>
      </w:r>
      <w:r>
        <w:rPr>
          <w:rFonts w:hint="eastAsia" w:ascii="仿宋_GB2312" w:hAnsi="仿宋_GB2312" w:eastAsia="仿宋_GB2312" w:cs="仿宋_GB2312"/>
          <w:sz w:val="32"/>
          <w:szCs w:val="32"/>
          <w:lang w:val="en-US" w:eastAsia="zh-CN"/>
        </w:rPr>
        <w:t>南宁中心</w:t>
      </w:r>
      <w:r>
        <w:rPr>
          <w:rFonts w:hint="default"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val="en-US" w:eastAsia="zh-CN"/>
        </w:rPr>
        <w:t>挂牌总金额2</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向摘牌方收取</w:t>
      </w:r>
      <w:r>
        <w:rPr>
          <w:rFonts w:hint="eastAsia" w:ascii="仿宋_GB2312" w:hAnsi="仿宋_GB2312" w:eastAsia="仿宋_GB2312" w:cs="仿宋_GB2312"/>
          <w:sz w:val="32"/>
          <w:szCs w:val="32"/>
          <w:lang w:val="en-US" w:eastAsia="zh-CN"/>
        </w:rPr>
        <w:t>交易服务费，未成交的不收取交易服务费。</w:t>
      </w:r>
    </w:p>
    <w:p>
      <w:pPr>
        <w:numPr>
          <w:ilvl w:val="0"/>
          <w:numId w:val="0"/>
        </w:numPr>
        <w:ind w:leftChars="2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五、意向摘牌方资格条件</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摘牌方须为中国境内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val="en-US" w:eastAsia="zh-CN"/>
        </w:rPr>
        <w:t>含</w:t>
      </w:r>
      <w:r>
        <w:rPr>
          <w:rFonts w:hint="default" w:ascii="仿宋_GB2312" w:hAnsi="仿宋_GB2312" w:eastAsia="仿宋_GB2312" w:cs="仿宋_GB2312"/>
          <w:sz w:val="32"/>
          <w:szCs w:val="32"/>
          <w:lang w:val="en-US" w:eastAsia="zh-CN"/>
        </w:rPr>
        <w:t>港、澳、</w:t>
      </w:r>
      <w:r>
        <w:rPr>
          <w:rFonts w:hint="eastAsia" w:ascii="仿宋_GB2312" w:hAnsi="仿宋_GB2312" w:eastAsia="仿宋_GB2312" w:cs="仿宋_GB2312"/>
          <w:sz w:val="32"/>
          <w:szCs w:val="32"/>
          <w:lang w:val="en-US" w:eastAsia="zh-CN"/>
        </w:rPr>
        <w:t>台</w:t>
      </w:r>
      <w:r>
        <w:rPr>
          <w:rFonts w:hint="default" w:ascii="仿宋_GB2312" w:hAnsi="仿宋_GB2312" w:eastAsia="仿宋_GB2312" w:cs="仿宋_GB2312"/>
          <w:sz w:val="32"/>
          <w:szCs w:val="32"/>
          <w:lang w:val="en-US" w:eastAsia="zh-CN"/>
        </w:rPr>
        <w:t>地区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合法存续的法人、非法人组织、个体工商户或具有完全民率行为能力的自然人。若不符合摘牌方资格条件参与竞价的，挂牌方有权取消其</w:t>
      </w:r>
      <w:r>
        <w:rPr>
          <w:rFonts w:hint="eastAsia" w:ascii="仿宋_GB2312" w:hAnsi="仿宋_GB2312" w:eastAsia="仿宋_GB2312" w:cs="仿宋_GB2312"/>
          <w:sz w:val="32"/>
          <w:szCs w:val="32"/>
          <w:lang w:val="en-US" w:eastAsia="zh-CN"/>
        </w:rPr>
        <w:t>竞价</w:t>
      </w:r>
      <w:r>
        <w:rPr>
          <w:rFonts w:hint="default" w:ascii="仿宋_GB2312" w:hAnsi="仿宋_GB2312" w:eastAsia="仿宋_GB2312" w:cs="仿宋_GB2312"/>
          <w:sz w:val="32"/>
          <w:szCs w:val="32"/>
          <w:lang w:val="en-US" w:eastAsia="zh-CN"/>
        </w:rPr>
        <w:t>资格，认定其报价无效并没收其交易保证</w:t>
      </w:r>
      <w:r>
        <w:rPr>
          <w:rFonts w:hint="eastAsia" w:ascii="仿宋_GB2312" w:hAnsi="仿宋_GB2312" w:eastAsia="仿宋_GB2312" w:cs="仿宋_GB2312"/>
          <w:sz w:val="32"/>
          <w:szCs w:val="32"/>
          <w:lang w:val="en-US" w:eastAsia="zh-CN"/>
        </w:rPr>
        <w:t>金。</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2.其他资格条件详见交易清单，最终解释权归挂牌方所有。</w:t>
      </w:r>
    </w:p>
    <w:p>
      <w:pPr>
        <w:numPr>
          <w:ilvl w:val="0"/>
          <w:numId w:val="0"/>
        </w:numPr>
        <w:ind w:leftChars="2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六、交易保证金交纳要求及处理方式</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意向摘牌方应将交易保证金足额转入南宁中心指定银行账户</w:t>
      </w:r>
      <w:r>
        <w:rPr>
          <w:rFonts w:hint="eastAsia" w:ascii="仿宋_GB2312" w:hAnsi="仿宋_GB2312" w:eastAsia="仿宋_GB2312" w:cs="仿宋_GB2312"/>
          <w:sz w:val="32"/>
          <w:szCs w:val="32"/>
          <w:lang w:val="en-US" w:eastAsia="zh-CN"/>
        </w:rPr>
        <w:t>：</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开户名称：南宁市农村产权运营管理有限公司</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开 户 行：中信银行南宁凤岭支行</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账号：8113</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0010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1340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0195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614</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交易保证金金额详见交易清单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，资金以到账为准。成交方</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交易保证金</w:t>
      </w:r>
      <w:r>
        <w:rPr>
          <w:rFonts w:hint="eastAsia" w:ascii="仿宋_GB2312" w:hAnsi="仿宋_GB2312" w:eastAsia="仿宋_GB2312" w:cs="仿宋_GB2312"/>
          <w:sz w:val="32"/>
          <w:szCs w:val="32"/>
          <w:lang w:val="en-US" w:eastAsia="zh-CN"/>
        </w:rPr>
        <w:t>由南宁中心扣除交易</w:t>
      </w:r>
      <w:r>
        <w:rPr>
          <w:rFonts w:hint="default" w:ascii="仿宋_GB2312" w:hAnsi="仿宋_GB2312" w:eastAsia="仿宋_GB2312" w:cs="仿宋_GB2312"/>
          <w:sz w:val="32"/>
          <w:szCs w:val="32"/>
          <w:lang w:val="en-US" w:eastAsia="zh-CN"/>
        </w:rPr>
        <w:t>划转至挂牌方账户</w:t>
      </w:r>
      <w:r>
        <w:rPr>
          <w:rFonts w:hint="eastAsia" w:ascii="仿宋_GB2312" w:hAnsi="仿宋_GB2312" w:eastAsia="仿宋_GB2312" w:cs="仿宋_GB2312"/>
          <w:sz w:val="32"/>
          <w:szCs w:val="32"/>
          <w:lang w:val="en-US" w:eastAsia="zh-CN"/>
        </w:rPr>
        <w:t>（作为履约保证金），交易双方完约定退由挂牌方退还摘牌方。</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2.未实现交易的意向摘牌方，南宁中心将在竞价结束后7个工作日内经审核后按原路无息退还其所交纳的交易保证金。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成交方未按信息公告约定签订交易合同或违反信息公告其他约定及</w:t>
      </w:r>
      <w:r>
        <w:rPr>
          <w:rFonts w:hint="eastAsia" w:ascii="仿宋_GB2312" w:hAnsi="仿宋_GB2312" w:eastAsia="仿宋_GB2312" w:cs="仿宋_GB2312"/>
          <w:sz w:val="32"/>
          <w:szCs w:val="32"/>
          <w:lang w:val="en-US" w:eastAsia="zh-CN"/>
        </w:rPr>
        <w:t>南宁中心</w:t>
      </w:r>
      <w:r>
        <w:rPr>
          <w:rFonts w:hint="default" w:ascii="仿宋_GB2312" w:hAnsi="仿宋_GB2312" w:eastAsia="仿宋_GB2312" w:cs="仿宋_GB2312"/>
          <w:sz w:val="32"/>
          <w:szCs w:val="32"/>
          <w:lang w:val="en-US" w:eastAsia="zh-CN"/>
        </w:rPr>
        <w:t>业务规则的，视为放弃成交资格，其已交纳的交易保证金</w:t>
      </w:r>
      <w:r>
        <w:rPr>
          <w:rFonts w:hint="eastAsia" w:ascii="仿宋_GB2312" w:hAnsi="仿宋_GB2312" w:eastAsia="仿宋_GB2312" w:cs="仿宋_GB2312"/>
          <w:sz w:val="32"/>
          <w:szCs w:val="32"/>
          <w:lang w:val="en-US" w:eastAsia="zh-CN"/>
        </w:rPr>
        <w:t>扣除交易手续费后</w:t>
      </w:r>
      <w:r>
        <w:rPr>
          <w:rFonts w:hint="default" w:ascii="仿宋_GB2312" w:hAnsi="仿宋_GB2312" w:eastAsia="仿宋_GB2312" w:cs="仿宋_GB2312"/>
          <w:sz w:val="32"/>
          <w:szCs w:val="32"/>
          <w:lang w:val="en-US" w:eastAsia="zh-CN"/>
        </w:rPr>
        <w:t>作为违约金划转给挂牌方，挂牌方有权将该标的重新组织交易</w:t>
      </w:r>
      <w:r>
        <w:rPr>
          <w:rFonts w:hint="eastAsia" w:ascii="仿宋_GB2312" w:hAnsi="仿宋_GB2312" w:eastAsia="仿宋_GB2312" w:cs="仿宋_GB2312"/>
          <w:sz w:val="32"/>
          <w:szCs w:val="32"/>
          <w:lang w:val="en-US" w:eastAsia="zh-CN"/>
        </w:rPr>
        <w:t>。</w:t>
      </w:r>
    </w:p>
    <w:p>
      <w:pPr>
        <w:numPr>
          <w:ilvl w:val="0"/>
          <w:numId w:val="0"/>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七、结算与合同签订</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项目成交后，南宁中心出具</w:t>
      </w:r>
      <w:r>
        <w:rPr>
          <w:rFonts w:hint="eastAsia" w:ascii="仿宋_GB2312" w:hAnsi="仿宋_GB2312" w:eastAsia="仿宋_GB2312" w:cs="仿宋_GB2312"/>
          <w:color w:val="auto"/>
          <w:sz w:val="32"/>
          <w:szCs w:val="32"/>
          <w:lang w:val="en-US" w:eastAsia="zh-CN"/>
        </w:rPr>
        <w:t>成交通知书</w:t>
      </w:r>
      <w:r>
        <w:rPr>
          <w:rFonts w:hint="default" w:ascii="仿宋_GB2312" w:hAnsi="仿宋_GB2312" w:eastAsia="仿宋_GB2312" w:cs="仿宋_GB2312"/>
          <w:color w:val="0000FF"/>
          <w:sz w:val="32"/>
          <w:szCs w:val="32"/>
          <w:lang w:val="en-US" w:eastAsia="zh-CN"/>
        </w:rPr>
        <w:t>。</w:t>
      </w:r>
      <w:r>
        <w:rPr>
          <w:rFonts w:hint="default" w:ascii="仿宋_GB2312" w:hAnsi="仿宋_GB2312" w:eastAsia="仿宋_GB2312" w:cs="仿宋_GB2312"/>
          <w:sz w:val="32"/>
          <w:szCs w:val="32"/>
          <w:lang w:val="en-US" w:eastAsia="zh-CN"/>
        </w:rPr>
        <w:t>成交方根据交易清单约定时间凭成交</w:t>
      </w:r>
      <w:r>
        <w:rPr>
          <w:rFonts w:hint="eastAsia" w:ascii="仿宋_GB2312" w:hAnsi="仿宋_GB2312" w:eastAsia="仿宋_GB2312" w:cs="仿宋_GB2312"/>
          <w:sz w:val="32"/>
          <w:szCs w:val="32"/>
          <w:lang w:val="en-US" w:eastAsia="zh-CN"/>
        </w:rPr>
        <w:t>通知</w:t>
      </w:r>
      <w:r>
        <w:rPr>
          <w:rFonts w:hint="default"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val="en-US" w:eastAsia="zh-CN"/>
        </w:rPr>
        <w:t>与挂牌方</w:t>
      </w:r>
      <w:r>
        <w:rPr>
          <w:rFonts w:hint="default" w:ascii="仿宋_GB2312" w:hAnsi="仿宋_GB2312" w:eastAsia="仿宋_GB2312" w:cs="仿宋_GB2312"/>
          <w:sz w:val="32"/>
          <w:szCs w:val="32"/>
          <w:highlight w:val="none"/>
          <w:lang w:val="en-US" w:eastAsia="zh-CN"/>
        </w:rPr>
        <w:t>签订</w:t>
      </w:r>
      <w:r>
        <w:rPr>
          <w:rFonts w:hint="eastAsia" w:ascii="仿宋_GB2312" w:hAnsi="仿宋_GB2312" w:eastAsia="仿宋_GB2312" w:cs="仿宋_GB2312"/>
          <w:sz w:val="32"/>
          <w:szCs w:val="32"/>
          <w:highlight w:val="none"/>
          <w:lang w:val="en-US" w:eastAsia="zh-CN"/>
        </w:rPr>
        <w:t>交易</w:t>
      </w:r>
      <w:r>
        <w:rPr>
          <w:rFonts w:hint="default"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lang w:val="en-US" w:eastAsia="zh-CN"/>
        </w:rPr>
        <w:t>（先货后款）。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交易双方按信息公告及交易合同约定自行完成交收</w:t>
      </w:r>
      <w:r>
        <w:rPr>
          <w:rFonts w:hint="eastAsia" w:ascii="仿宋_GB2312" w:hAnsi="仿宋_GB2312" w:eastAsia="仿宋_GB2312" w:cs="仿宋_GB2312"/>
          <w:sz w:val="32"/>
          <w:szCs w:val="32"/>
          <w:lang w:val="en-US" w:eastAsia="zh-CN"/>
        </w:rPr>
        <w:t>。</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八、风险与告知</w:t>
      </w:r>
    </w:p>
    <w:p>
      <w:pPr>
        <w:numPr>
          <w:ilvl w:val="0"/>
          <w:numId w:val="0"/>
        </w:numPr>
        <w:ind w:leftChars="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项目采购标的产地、品牌、产品生产日期、产品质量要求及包装规格等情况介绍均由挂牌方提供。参与竞价前，请各意向摘牌方务必详细阅读公告及附件的所有内容，自行咨询挂牌方并充分了解采购标的详情。</w:t>
      </w:r>
    </w:p>
    <w:p>
      <w:pPr>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本次交易标的具有市场风险投资性质，可能发生的风险包括（但不限于）标的物在交易和履约过程中可能存在市场价格波动、物流原因导致费用增加或货物损耗、灭失以及其它风险。意向摘牌方参与标的竞价，有可能实现盈利，也有可能出现亏损，意向摘牌方应对参与交易有充分了解和风险预估。意向摘牌方成交后负有履约和承担风险的责任。       </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3.意向摘牌方参与交易前应仔细阅读本公告（交易清</w:t>
      </w:r>
      <w:r>
        <w:rPr>
          <w:rFonts w:hint="eastAsia" w:ascii="仿宋_GB2312" w:hAnsi="仿宋_GB2312" w:eastAsia="仿宋_GB2312" w:cs="仿宋_GB2312"/>
          <w:sz w:val="32"/>
          <w:szCs w:val="32"/>
          <w:lang w:val="en-US" w:eastAsia="zh-CN"/>
        </w:rPr>
        <w:t>单、交易合同模板等附件材料，了解遵照南宁中心业务规则，一旦参与交易则视为意向摘牌方已充分了解并接受本公告（交易清单、交易合同模板等附件材料）、南宁中心业务规则等全部内容，愿意承担可能存在的一切交易风险。</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4.未尽事宜以最终合同约定为准。</w:t>
      </w:r>
    </w:p>
    <w:p>
      <w:pPr>
        <w:numPr>
          <w:ilvl w:val="0"/>
          <w:numId w:val="0"/>
        </w:numPr>
        <w:ind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九、联系方式</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联系电话：0771-2285888。</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地址：南宁市青秀区长虹路88号B9A-2第六层。</w:t>
      </w:r>
    </w:p>
    <w:p>
      <w:pPr>
        <w:numPr>
          <w:ilvl w:val="0"/>
          <w:numId w:val="0"/>
        </w:numPr>
        <w:ind w:leftChars="0" w:firstLine="640" w:firstLineChars="200"/>
        <w:rPr>
          <w:rFonts w:hint="eastAsia" w:ascii="仿宋_GB2312" w:hAnsi="仿宋_GB2312" w:eastAsia="仿宋_GB2312" w:cs="仿宋_GB2312"/>
          <w:sz w:val="32"/>
          <w:szCs w:val="32"/>
          <w:lang w:val="en-US" w:eastAsia="zh-CN"/>
        </w:rPr>
      </w:pP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460" w:lineRule="exact"/>
        <w:jc w:val="center"/>
        <w:rPr>
          <w:rFonts w:ascii="宋体" w:hAnsi="宋体" w:cs="宋体"/>
          <w:b/>
          <w:spacing w:val="4"/>
          <w:sz w:val="36"/>
          <w:szCs w:val="36"/>
        </w:rPr>
      </w:pPr>
      <w:r>
        <w:rPr>
          <w:rFonts w:hint="eastAsia" w:ascii="宋体" w:hAnsi="宋体" w:cs="宋体"/>
          <w:b/>
          <w:spacing w:val="4"/>
          <w:sz w:val="36"/>
          <w:szCs w:val="36"/>
        </w:rPr>
        <w:t>肥料购销合同</w:t>
      </w:r>
    </w:p>
    <w:p>
      <w:pPr>
        <w:spacing w:line="460" w:lineRule="exact"/>
        <w:rPr>
          <w:rFonts w:hint="eastAsia" w:ascii="宋体" w:hAnsi="宋体" w:cs="宋体"/>
          <w:b/>
          <w:bCs/>
          <w:spacing w:val="4"/>
          <w:sz w:val="24"/>
          <w:lang w:val="en-US" w:eastAsia="zh-CN"/>
        </w:rPr>
      </w:pPr>
      <w:r>
        <w:rPr>
          <w:rFonts w:hint="eastAsia" w:ascii="宋体" w:hAnsi="宋体" w:cs="宋体"/>
          <w:spacing w:val="4"/>
          <w:sz w:val="24"/>
        </w:rPr>
        <w:t xml:space="preserve">                                                   </w:t>
      </w:r>
      <w:r>
        <w:rPr>
          <w:rFonts w:hint="eastAsia" w:ascii="宋体" w:hAnsi="宋体" w:cs="宋体"/>
          <w:b/>
          <w:bCs/>
          <w:spacing w:val="4"/>
          <w:sz w:val="24"/>
        </w:rPr>
        <w:t xml:space="preserve">   </w:t>
      </w:r>
      <w:r>
        <w:rPr>
          <w:rFonts w:hint="eastAsia" w:ascii="宋体" w:hAnsi="宋体" w:cs="宋体"/>
          <w:b/>
          <w:bCs/>
          <w:sz w:val="24"/>
        </w:rPr>
        <w:t>LW</w:t>
      </w:r>
      <w:r>
        <w:rPr>
          <w:rFonts w:hint="eastAsia" w:ascii="宋体" w:hAnsi="宋体" w:cs="宋体"/>
          <w:b/>
          <w:bCs/>
          <w:sz w:val="24"/>
          <w:lang w:val="en-US" w:eastAsia="zh-CN"/>
        </w:rPr>
        <w:t>LT</w:t>
      </w:r>
      <w:r>
        <w:rPr>
          <w:rFonts w:hint="eastAsia" w:ascii="宋体" w:hAnsi="宋体" w:cs="宋体"/>
          <w:b/>
          <w:bCs/>
          <w:sz w:val="24"/>
        </w:rPr>
        <w:t>-2023</w:t>
      </w:r>
      <w:r>
        <w:rPr>
          <w:rFonts w:hint="eastAsia" w:ascii="宋体" w:hAnsi="宋体" w:cs="宋体"/>
          <w:b/>
          <w:bCs/>
          <w:spacing w:val="4"/>
          <w:sz w:val="24"/>
          <w:lang w:val="en-US" w:eastAsia="zh-CN"/>
        </w:rPr>
        <w:t>15</w:t>
      </w:r>
    </w:p>
    <w:p>
      <w:pPr>
        <w:spacing w:line="460" w:lineRule="exact"/>
        <w:rPr>
          <w:rFonts w:hint="eastAsia" w:ascii="宋体" w:hAnsi="宋体" w:cs="宋体"/>
          <w:spacing w:val="4"/>
          <w:sz w:val="24"/>
          <w:lang w:eastAsia="zh-CN"/>
        </w:rPr>
      </w:pPr>
      <w:r>
        <w:rPr>
          <w:rFonts w:hint="eastAsia" w:ascii="宋体" w:hAnsi="宋体" w:cs="宋体"/>
          <w:spacing w:val="4"/>
          <w:sz w:val="24"/>
        </w:rPr>
        <w:t>甲方（需方）：</w:t>
      </w:r>
      <w:r>
        <w:rPr>
          <w:rFonts w:hint="eastAsia" w:ascii="宋体" w:hAnsi="宋体" w:cs="宋体"/>
          <w:spacing w:val="4"/>
          <w:sz w:val="24"/>
          <w:lang w:eastAsia="zh-CN"/>
        </w:rPr>
        <w:t>南宁市罗文林业投资有限责任公司</w:t>
      </w:r>
    </w:p>
    <w:p>
      <w:pPr>
        <w:spacing w:line="460" w:lineRule="exact"/>
        <w:rPr>
          <w:rFonts w:hint="eastAsia" w:ascii="宋体" w:hAnsi="宋体" w:cs="宋体"/>
          <w:spacing w:val="4"/>
          <w:sz w:val="24"/>
        </w:rPr>
      </w:pPr>
      <w:r>
        <w:rPr>
          <w:rFonts w:hint="eastAsia" w:ascii="宋体" w:hAnsi="宋体" w:cs="宋体"/>
          <w:spacing w:val="4"/>
          <w:sz w:val="24"/>
        </w:rPr>
        <w:t>乙方（供方）：</w:t>
      </w:r>
    </w:p>
    <w:p>
      <w:pPr>
        <w:spacing w:line="460" w:lineRule="exact"/>
        <w:rPr>
          <w:rFonts w:ascii="宋体" w:hAnsi="宋体" w:cs="宋体"/>
          <w:spacing w:val="4"/>
          <w:sz w:val="24"/>
          <w:u w:val="single"/>
        </w:rPr>
      </w:pPr>
      <w:r>
        <w:rPr>
          <w:rFonts w:hint="eastAsia" w:ascii="宋体" w:hAnsi="宋体" w:cs="宋体"/>
          <w:spacing w:val="4"/>
          <w:sz w:val="24"/>
        </w:rPr>
        <w:t xml:space="preserve">签订时间： 2023年 月 </w:t>
      </w:r>
      <w:r>
        <w:rPr>
          <w:rFonts w:hint="eastAsia" w:ascii="宋体" w:hAnsi="宋体" w:cs="宋体"/>
          <w:spacing w:val="4"/>
          <w:sz w:val="24"/>
          <w:lang w:val="en-US" w:eastAsia="zh-CN"/>
        </w:rPr>
        <w:t xml:space="preserve">  </w:t>
      </w:r>
      <w:r>
        <w:rPr>
          <w:rFonts w:hint="eastAsia" w:ascii="宋体" w:hAnsi="宋体" w:cs="宋体"/>
          <w:spacing w:val="4"/>
          <w:sz w:val="24"/>
        </w:rPr>
        <w:t xml:space="preserve">日     签订地点：南宁市 </w:t>
      </w:r>
    </w:p>
    <w:p>
      <w:pPr>
        <w:spacing w:line="460" w:lineRule="exact"/>
        <w:rPr>
          <w:rFonts w:ascii="宋体" w:hAnsi="宋体" w:cs="宋体"/>
          <w:spacing w:val="4"/>
          <w:sz w:val="24"/>
          <w:u w:val="single"/>
        </w:rPr>
      </w:pPr>
    </w:p>
    <w:p>
      <w:pPr>
        <w:spacing w:line="460" w:lineRule="exact"/>
        <w:ind w:firstLine="496" w:firstLineChars="200"/>
        <w:rPr>
          <w:rFonts w:ascii="宋体" w:hAnsi="宋体" w:cs="宋体"/>
          <w:color w:val="auto"/>
          <w:spacing w:val="4"/>
          <w:sz w:val="24"/>
        </w:rPr>
      </w:pPr>
      <w:r>
        <w:rPr>
          <w:rFonts w:hint="eastAsia" w:ascii="宋体" w:hAnsi="宋体" w:cs="宋体"/>
          <w:color w:val="auto"/>
          <w:spacing w:val="4"/>
          <w:sz w:val="24"/>
        </w:rPr>
        <w:t>甲方营林需要向乙方采购</w:t>
      </w:r>
      <w:r>
        <w:rPr>
          <w:rFonts w:hint="eastAsia" w:ascii="宋体" w:hAnsi="宋体" w:cs="宋体"/>
          <w:color w:val="auto"/>
          <w:spacing w:val="4"/>
          <w:sz w:val="24"/>
          <w:lang w:val="en-US"/>
        </w:rPr>
        <w:t>用材林</w:t>
      </w:r>
      <w:r>
        <w:rPr>
          <w:rFonts w:hint="eastAsia" w:ascii="宋体" w:hAnsi="宋体" w:cs="宋体"/>
          <w:color w:val="auto"/>
          <w:spacing w:val="4"/>
          <w:sz w:val="24"/>
        </w:rPr>
        <w:t>复合肥</w:t>
      </w:r>
      <w:r>
        <w:rPr>
          <w:rFonts w:hint="eastAsia" w:ascii="宋体" w:hAnsi="宋体" w:cs="宋体"/>
          <w:color w:val="auto"/>
          <w:spacing w:val="4"/>
          <w:sz w:val="24"/>
          <w:lang w:val="en-US"/>
        </w:rPr>
        <w:t>料</w:t>
      </w:r>
      <w:r>
        <w:rPr>
          <w:rFonts w:hint="eastAsia" w:ascii="宋体" w:hAnsi="宋体" w:cs="宋体"/>
          <w:color w:val="auto"/>
          <w:spacing w:val="4"/>
          <w:sz w:val="24"/>
        </w:rPr>
        <w:t>，经双方友好协商，签订本合同，具体条款如下：</w:t>
      </w:r>
    </w:p>
    <w:tbl>
      <w:tblPr>
        <w:tblStyle w:val="6"/>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790"/>
        <w:gridCol w:w="1470"/>
        <w:gridCol w:w="885"/>
        <w:gridCol w:w="149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93" w:type="dxa"/>
            <w:vAlign w:val="center"/>
          </w:tcPr>
          <w:p>
            <w:pPr>
              <w:spacing w:line="400" w:lineRule="exact"/>
              <w:jc w:val="center"/>
              <w:rPr>
                <w:rFonts w:ascii="宋体" w:hAnsi="宋体" w:cs="宋体"/>
                <w:b/>
                <w:color w:val="auto"/>
                <w:szCs w:val="21"/>
              </w:rPr>
            </w:pPr>
            <w:r>
              <w:rPr>
                <w:rFonts w:hint="eastAsia" w:ascii="宋体" w:hAnsi="宋体" w:cs="宋体"/>
                <w:b/>
                <w:color w:val="auto"/>
                <w:szCs w:val="21"/>
              </w:rPr>
              <w:t>名   称</w:t>
            </w:r>
          </w:p>
        </w:tc>
        <w:tc>
          <w:tcPr>
            <w:tcW w:w="2790" w:type="dxa"/>
            <w:vAlign w:val="center"/>
          </w:tcPr>
          <w:p>
            <w:pPr>
              <w:spacing w:line="400" w:lineRule="exact"/>
              <w:jc w:val="center"/>
              <w:rPr>
                <w:rFonts w:ascii="宋体" w:hAnsi="宋体" w:cs="宋体"/>
                <w:b/>
                <w:color w:val="auto"/>
                <w:szCs w:val="21"/>
              </w:rPr>
            </w:pPr>
            <w:r>
              <w:rPr>
                <w:rFonts w:hint="eastAsia" w:ascii="宋体" w:hAnsi="宋体" w:cs="宋体"/>
                <w:b/>
                <w:color w:val="auto"/>
                <w:szCs w:val="21"/>
              </w:rPr>
              <w:t>配方指标（N-P-K）</w:t>
            </w:r>
          </w:p>
        </w:tc>
        <w:tc>
          <w:tcPr>
            <w:tcW w:w="1470" w:type="dxa"/>
            <w:vAlign w:val="center"/>
          </w:tcPr>
          <w:p>
            <w:pPr>
              <w:spacing w:line="400" w:lineRule="exact"/>
              <w:ind w:left="91" w:hanging="91" w:hangingChars="43"/>
              <w:jc w:val="center"/>
              <w:rPr>
                <w:rFonts w:ascii="宋体" w:hAnsi="宋体" w:cs="宋体"/>
                <w:b/>
                <w:color w:val="auto"/>
                <w:szCs w:val="21"/>
              </w:rPr>
            </w:pPr>
            <w:r>
              <w:rPr>
                <w:rFonts w:hint="eastAsia" w:ascii="宋体" w:hAnsi="宋体" w:cs="宋体"/>
                <w:b/>
                <w:color w:val="auto"/>
                <w:szCs w:val="21"/>
              </w:rPr>
              <w:t>规格（kg/包）</w:t>
            </w:r>
          </w:p>
        </w:tc>
        <w:tc>
          <w:tcPr>
            <w:tcW w:w="885" w:type="dxa"/>
            <w:vAlign w:val="center"/>
          </w:tcPr>
          <w:p>
            <w:pPr>
              <w:spacing w:line="400" w:lineRule="exact"/>
              <w:jc w:val="center"/>
              <w:rPr>
                <w:rFonts w:ascii="宋体" w:hAnsi="宋体" w:cs="宋体"/>
                <w:b/>
                <w:color w:val="auto"/>
                <w:szCs w:val="21"/>
              </w:rPr>
            </w:pPr>
            <w:r>
              <w:rPr>
                <w:rFonts w:hint="eastAsia" w:ascii="宋体" w:hAnsi="宋体" w:cs="宋体"/>
                <w:b/>
                <w:color w:val="auto"/>
                <w:szCs w:val="21"/>
              </w:rPr>
              <w:t>数量（吨）</w:t>
            </w:r>
          </w:p>
        </w:tc>
        <w:tc>
          <w:tcPr>
            <w:tcW w:w="1497" w:type="dxa"/>
            <w:vAlign w:val="center"/>
          </w:tcPr>
          <w:p>
            <w:pPr>
              <w:spacing w:line="400" w:lineRule="exact"/>
              <w:ind w:left="91" w:leftChars="-66" w:right="-107" w:rightChars="-51" w:hanging="230" w:hangingChars="109"/>
              <w:jc w:val="center"/>
              <w:rPr>
                <w:rFonts w:ascii="宋体" w:hAnsi="宋体" w:cs="宋体"/>
                <w:b/>
                <w:color w:val="auto"/>
                <w:szCs w:val="21"/>
              </w:rPr>
            </w:pPr>
            <w:r>
              <w:rPr>
                <w:rFonts w:hint="eastAsia" w:ascii="宋体" w:hAnsi="宋体" w:cs="宋体"/>
                <w:b/>
                <w:color w:val="auto"/>
                <w:szCs w:val="21"/>
              </w:rPr>
              <w:t>单价（元/吨）</w:t>
            </w:r>
          </w:p>
        </w:tc>
        <w:tc>
          <w:tcPr>
            <w:tcW w:w="1230" w:type="dxa"/>
            <w:vAlign w:val="center"/>
          </w:tcPr>
          <w:p>
            <w:pPr>
              <w:spacing w:line="400" w:lineRule="exact"/>
              <w:ind w:right="-107" w:rightChars="-51"/>
              <w:jc w:val="center"/>
              <w:rPr>
                <w:rFonts w:ascii="宋体" w:hAnsi="宋体" w:cs="宋体"/>
                <w:b/>
                <w:color w:val="auto"/>
                <w:szCs w:val="21"/>
              </w:rPr>
            </w:pPr>
            <w:r>
              <w:rPr>
                <w:rFonts w:hint="eastAsia" w:ascii="宋体" w:hAnsi="宋体" w:cs="宋体"/>
                <w:b/>
                <w:color w:val="auto"/>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93" w:type="dxa"/>
            <w:vAlign w:val="center"/>
          </w:tcPr>
          <w:p>
            <w:pPr>
              <w:spacing w:line="400" w:lineRule="exact"/>
              <w:ind w:leftChars="-66" w:right="-107" w:rightChars="-51" w:hanging="138" w:hangingChars="66"/>
              <w:jc w:val="center"/>
              <w:rPr>
                <w:rFonts w:ascii="宋体" w:hAnsi="宋体" w:cs="宋体"/>
                <w:bCs/>
                <w:color w:val="auto"/>
                <w:szCs w:val="21"/>
              </w:rPr>
            </w:pPr>
            <w:r>
              <w:rPr>
                <w:rFonts w:hint="eastAsia" w:ascii="宋体" w:hAnsi="宋体" w:cs="宋体"/>
                <w:bCs/>
                <w:color w:val="auto"/>
                <w:szCs w:val="21"/>
              </w:rPr>
              <w:t>复合肥料</w:t>
            </w:r>
          </w:p>
        </w:tc>
        <w:tc>
          <w:tcPr>
            <w:tcW w:w="2790" w:type="dxa"/>
            <w:vAlign w:val="center"/>
          </w:tcPr>
          <w:p>
            <w:pPr>
              <w:spacing w:line="400" w:lineRule="exact"/>
              <w:ind w:right="-107" w:rightChars="-51"/>
              <w:jc w:val="center"/>
              <w:rPr>
                <w:rFonts w:ascii="宋体" w:hAnsi="宋体" w:cs="宋体"/>
                <w:b/>
                <w:color w:val="auto"/>
                <w:szCs w:val="21"/>
              </w:rPr>
            </w:pPr>
            <w:r>
              <w:rPr>
                <w:rFonts w:hint="eastAsia" w:ascii="宋体" w:hAnsi="宋体" w:cs="宋体"/>
                <w:color w:val="auto"/>
                <w:sz w:val="24"/>
              </w:rPr>
              <w:t>质量要求：N-P</w:t>
            </w:r>
            <w:r>
              <w:rPr>
                <w:rFonts w:hint="eastAsia" w:ascii="宋体" w:hAnsi="宋体" w:cs="宋体"/>
                <w:color w:val="auto"/>
                <w:sz w:val="24"/>
                <w:vertAlign w:val="subscript"/>
              </w:rPr>
              <w:t>2</w:t>
            </w:r>
            <w:r>
              <w:rPr>
                <w:rFonts w:hint="eastAsia" w:ascii="宋体" w:hAnsi="宋体" w:cs="宋体"/>
                <w:color w:val="auto"/>
                <w:sz w:val="24"/>
              </w:rPr>
              <w:t>O</w:t>
            </w:r>
            <w:r>
              <w:rPr>
                <w:rFonts w:hint="eastAsia" w:ascii="宋体" w:hAnsi="宋体" w:cs="宋体"/>
                <w:color w:val="auto"/>
                <w:sz w:val="24"/>
                <w:vertAlign w:val="subscript"/>
              </w:rPr>
              <w:t>5</w:t>
            </w:r>
            <w:r>
              <w:rPr>
                <w:rFonts w:hint="eastAsia" w:ascii="宋体" w:hAnsi="宋体" w:cs="宋体"/>
                <w:color w:val="auto"/>
                <w:sz w:val="24"/>
              </w:rPr>
              <w:t>-K</w:t>
            </w:r>
            <w:r>
              <w:rPr>
                <w:rFonts w:hint="eastAsia" w:ascii="宋体" w:hAnsi="宋体" w:cs="宋体"/>
                <w:color w:val="auto"/>
                <w:sz w:val="24"/>
                <w:vertAlign w:val="subscript"/>
              </w:rPr>
              <w:t>2</w:t>
            </w:r>
            <w:r>
              <w:rPr>
                <w:rFonts w:hint="eastAsia" w:ascii="宋体" w:hAnsi="宋体" w:cs="宋体"/>
                <w:color w:val="auto"/>
                <w:sz w:val="24"/>
              </w:rPr>
              <w:t>O 18-8-6，总养分≥32%；，有机质≥</w:t>
            </w:r>
            <w:r>
              <w:rPr>
                <w:rFonts w:hint="eastAsia" w:ascii="宋体" w:hAnsi="宋体" w:cs="宋体"/>
                <w:color w:val="auto"/>
                <w:sz w:val="24"/>
                <w:lang w:val="en-US" w:eastAsia="zh-CN"/>
              </w:rPr>
              <w:t>3</w:t>
            </w:r>
            <w:r>
              <w:rPr>
                <w:rFonts w:hint="eastAsia" w:ascii="宋体" w:hAnsi="宋体" w:cs="宋体"/>
                <w:color w:val="auto"/>
                <w:sz w:val="24"/>
              </w:rPr>
              <w:t>%</w:t>
            </w:r>
          </w:p>
        </w:tc>
        <w:tc>
          <w:tcPr>
            <w:tcW w:w="1470" w:type="dxa"/>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25</w:t>
            </w:r>
          </w:p>
        </w:tc>
        <w:tc>
          <w:tcPr>
            <w:tcW w:w="885" w:type="dxa"/>
            <w:vAlign w:val="center"/>
          </w:tcPr>
          <w:p>
            <w:pPr>
              <w:spacing w:line="400" w:lineRule="exact"/>
              <w:jc w:val="center"/>
              <w:rPr>
                <w:rFonts w:ascii="宋体" w:hAnsi="宋体" w:cs="宋体"/>
                <w:bCs/>
                <w:color w:val="auto"/>
                <w:szCs w:val="21"/>
              </w:rPr>
            </w:pPr>
            <w:r>
              <w:rPr>
                <w:rFonts w:hint="eastAsia" w:ascii="宋体" w:hAnsi="宋体" w:cs="宋体"/>
                <w:bCs/>
                <w:color w:val="auto"/>
                <w:szCs w:val="21"/>
                <w:lang w:val="en-US" w:eastAsia="zh-CN"/>
              </w:rPr>
              <w:t>22</w:t>
            </w:r>
          </w:p>
        </w:tc>
        <w:tc>
          <w:tcPr>
            <w:tcW w:w="1497" w:type="dxa"/>
            <w:vAlign w:val="center"/>
          </w:tcPr>
          <w:p>
            <w:pPr>
              <w:spacing w:line="400" w:lineRule="exact"/>
              <w:jc w:val="center"/>
              <w:rPr>
                <w:rFonts w:hint="eastAsia" w:ascii="宋体" w:hAnsi="宋体" w:eastAsia="宋体" w:cs="宋体"/>
                <w:bCs/>
                <w:color w:val="auto"/>
                <w:szCs w:val="21"/>
                <w:lang w:val="en-US" w:eastAsia="zh-CN"/>
              </w:rPr>
            </w:pPr>
          </w:p>
        </w:tc>
        <w:tc>
          <w:tcPr>
            <w:tcW w:w="1230" w:type="dxa"/>
            <w:vAlign w:val="center"/>
          </w:tcPr>
          <w:p>
            <w:pPr>
              <w:spacing w:line="400" w:lineRule="exact"/>
              <w:jc w:val="center"/>
              <w:rPr>
                <w:rFonts w:hint="eastAsia" w:ascii="宋体" w:hAnsi="宋体" w:eastAsia="宋体" w:cs="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5" w:type="dxa"/>
            <w:gridSpan w:val="6"/>
            <w:vAlign w:val="center"/>
          </w:tcPr>
          <w:p>
            <w:pPr>
              <w:tabs>
                <w:tab w:val="left" w:pos="2698"/>
              </w:tabs>
              <w:spacing w:line="400" w:lineRule="exact"/>
              <w:jc w:val="left"/>
              <w:rPr>
                <w:rFonts w:ascii="宋体" w:hAnsi="宋体" w:cs="宋体"/>
                <w:bCs/>
                <w:color w:val="auto"/>
                <w:szCs w:val="21"/>
              </w:rPr>
            </w:pPr>
            <w:r>
              <w:rPr>
                <w:rFonts w:hint="eastAsia" w:ascii="宋体" w:hAnsi="宋体" w:cs="宋体"/>
                <w:color w:val="auto"/>
                <w:szCs w:val="21"/>
              </w:rPr>
              <w:t>本合同含税货款金额总计:</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eastAsia="zh-CN"/>
              </w:rPr>
              <w:t>整</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w:t>
            </w:r>
          </w:p>
        </w:tc>
      </w:tr>
    </w:tbl>
    <w:p>
      <w:pPr>
        <w:tabs>
          <w:tab w:val="left" w:pos="840"/>
        </w:tabs>
        <w:spacing w:line="460" w:lineRule="exact"/>
        <w:ind w:firstLine="480" w:firstLineChars="200"/>
        <w:rPr>
          <w:rFonts w:ascii="宋体" w:hAnsi="宋体" w:cs="宋体"/>
          <w:color w:val="auto"/>
          <w:sz w:val="24"/>
        </w:rPr>
      </w:pPr>
      <w:r>
        <w:rPr>
          <w:rFonts w:hint="eastAsia" w:ascii="宋体" w:hAnsi="宋体" w:cs="宋体"/>
          <w:color w:val="auto"/>
          <w:sz w:val="24"/>
        </w:rPr>
        <w:t>本合同肥料单价已包含包装费、装卸费、风险、税金、质保及其他不可预见费用等为履行本合同需要支出的所有费用。合同价款已充分考虑货物贸易期间各种市场风险因素，无论任何原因，乙方都不能上调本合同肥料单价，乙方须保质保量完成供货。</w:t>
      </w:r>
    </w:p>
    <w:p>
      <w:pPr>
        <w:tabs>
          <w:tab w:val="left" w:pos="840"/>
        </w:tabs>
        <w:spacing w:line="460" w:lineRule="exact"/>
        <w:ind w:firstLine="482" w:firstLineChars="200"/>
        <w:rPr>
          <w:rFonts w:ascii="宋体" w:hAnsi="宋体" w:cs="宋体"/>
          <w:color w:val="auto"/>
          <w:sz w:val="24"/>
        </w:rPr>
      </w:pPr>
      <w:r>
        <w:rPr>
          <w:rFonts w:hint="eastAsia" w:ascii="宋体" w:hAnsi="宋体" w:cs="宋体"/>
          <w:b/>
          <w:bCs/>
          <w:color w:val="auto"/>
          <w:sz w:val="24"/>
        </w:rPr>
        <w:t xml:space="preserve">1.质量要求及技术标准：                                                                                                                         </w:t>
      </w:r>
    </w:p>
    <w:p>
      <w:pPr>
        <w:tabs>
          <w:tab w:val="left" w:pos="840"/>
        </w:tabs>
        <w:spacing w:line="460" w:lineRule="exact"/>
        <w:ind w:firstLine="480" w:firstLineChars="200"/>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lang w:val="en-US"/>
        </w:rPr>
        <w:t>用材林</w:t>
      </w:r>
      <w:r>
        <w:rPr>
          <w:rFonts w:hint="eastAsia" w:ascii="宋体" w:hAnsi="宋体" w:cs="宋体"/>
          <w:color w:val="auto"/>
          <w:sz w:val="24"/>
        </w:rPr>
        <w:t>复合肥料（1</w:t>
      </w:r>
      <w:r>
        <w:rPr>
          <w:rFonts w:hint="default" w:ascii="宋体" w:hAnsi="宋体" w:cs="宋体"/>
          <w:color w:val="auto"/>
          <w:sz w:val="24"/>
        </w:rPr>
        <w:t>8</w:t>
      </w:r>
      <w:r>
        <w:rPr>
          <w:rFonts w:hint="eastAsia" w:ascii="宋体" w:hAnsi="宋体" w:cs="宋体"/>
          <w:color w:val="auto"/>
          <w:sz w:val="24"/>
        </w:rPr>
        <w:t>-8-</w:t>
      </w:r>
      <w:r>
        <w:rPr>
          <w:rFonts w:hint="default" w:ascii="宋体" w:hAnsi="宋体" w:cs="宋体"/>
          <w:color w:val="auto"/>
          <w:sz w:val="24"/>
        </w:rPr>
        <w:t>6</w:t>
      </w:r>
      <w:r>
        <w:rPr>
          <w:rFonts w:hint="eastAsia" w:ascii="宋体" w:hAnsi="宋体" w:cs="宋体"/>
          <w:color w:val="auto"/>
          <w:sz w:val="24"/>
        </w:rPr>
        <w:t>）：</w:t>
      </w:r>
    </w:p>
    <w:tbl>
      <w:tblPr>
        <w:tblStyle w:val="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68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序号</w:t>
            </w:r>
          </w:p>
        </w:tc>
        <w:tc>
          <w:tcPr>
            <w:tcW w:w="568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项目</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1</w:t>
            </w:r>
          </w:p>
        </w:tc>
        <w:tc>
          <w:tcPr>
            <w:tcW w:w="5685" w:type="dxa"/>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总养分（N+P</w:t>
            </w:r>
            <w:r>
              <w:rPr>
                <w:rFonts w:hint="eastAsia" w:ascii="宋体" w:hAnsi="宋体" w:cs="宋体"/>
                <w:color w:val="auto"/>
                <w:sz w:val="24"/>
                <w:vertAlign w:val="subscript"/>
              </w:rPr>
              <w:t>2</w:t>
            </w:r>
            <w:r>
              <w:rPr>
                <w:rFonts w:hint="eastAsia" w:ascii="宋体" w:hAnsi="宋体" w:cs="宋体"/>
                <w:color w:val="auto"/>
                <w:sz w:val="24"/>
              </w:rPr>
              <w:t>O</w:t>
            </w:r>
            <w:r>
              <w:rPr>
                <w:rFonts w:hint="eastAsia" w:ascii="宋体" w:hAnsi="宋体" w:cs="宋体"/>
                <w:color w:val="auto"/>
                <w:sz w:val="24"/>
                <w:vertAlign w:val="subscript"/>
              </w:rPr>
              <w:t>5</w:t>
            </w:r>
            <w:r>
              <w:rPr>
                <w:rFonts w:hint="eastAsia" w:ascii="宋体" w:hAnsi="宋体" w:cs="宋体"/>
                <w:color w:val="auto"/>
                <w:sz w:val="24"/>
              </w:rPr>
              <w:t>+K</w:t>
            </w:r>
            <w:r>
              <w:rPr>
                <w:rFonts w:hint="eastAsia" w:ascii="宋体" w:hAnsi="宋体" w:cs="宋体"/>
                <w:color w:val="auto"/>
                <w:sz w:val="24"/>
                <w:vertAlign w:val="subscript"/>
              </w:rPr>
              <w:t>2</w:t>
            </w:r>
            <w:r>
              <w:rPr>
                <w:rFonts w:hint="eastAsia" w:ascii="宋体" w:hAnsi="宋体" w:cs="宋体"/>
                <w:color w:val="auto"/>
                <w:sz w:val="24"/>
              </w:rPr>
              <w:t xml:space="preserve">O）的质量分数%      </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2</w:t>
            </w:r>
          </w:p>
        </w:tc>
        <w:tc>
          <w:tcPr>
            <w:tcW w:w="5685" w:type="dxa"/>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 xml:space="preserve">N含量/%                       </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3</w:t>
            </w:r>
          </w:p>
        </w:tc>
        <w:tc>
          <w:tcPr>
            <w:tcW w:w="5685" w:type="dxa"/>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P</w:t>
            </w:r>
            <w:r>
              <w:rPr>
                <w:rFonts w:hint="eastAsia" w:ascii="宋体" w:hAnsi="宋体" w:cs="宋体"/>
                <w:color w:val="auto"/>
                <w:sz w:val="24"/>
                <w:vertAlign w:val="subscript"/>
              </w:rPr>
              <w:t>2</w:t>
            </w:r>
            <w:r>
              <w:rPr>
                <w:rFonts w:hint="eastAsia" w:ascii="宋体" w:hAnsi="宋体" w:cs="宋体"/>
                <w:color w:val="auto"/>
                <w:sz w:val="24"/>
              </w:rPr>
              <w:t>O</w:t>
            </w:r>
            <w:r>
              <w:rPr>
                <w:rFonts w:hint="eastAsia" w:ascii="宋体" w:hAnsi="宋体" w:cs="宋体"/>
                <w:color w:val="auto"/>
                <w:sz w:val="24"/>
                <w:vertAlign w:val="subscript"/>
              </w:rPr>
              <w:t>5</w:t>
            </w:r>
            <w:r>
              <w:rPr>
                <w:rFonts w:hint="eastAsia" w:ascii="宋体" w:hAnsi="宋体" w:cs="宋体"/>
                <w:color w:val="auto"/>
                <w:sz w:val="24"/>
              </w:rPr>
              <w:t xml:space="preserve">含量/%                     </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4</w:t>
            </w:r>
          </w:p>
        </w:tc>
        <w:tc>
          <w:tcPr>
            <w:tcW w:w="5685" w:type="dxa"/>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K</w:t>
            </w:r>
            <w:r>
              <w:rPr>
                <w:rFonts w:hint="eastAsia" w:ascii="宋体" w:hAnsi="宋体" w:cs="宋体"/>
                <w:color w:val="auto"/>
                <w:sz w:val="24"/>
                <w:vertAlign w:val="subscript"/>
              </w:rPr>
              <w:t>2</w:t>
            </w:r>
            <w:r>
              <w:rPr>
                <w:rFonts w:hint="eastAsia" w:ascii="宋体" w:hAnsi="宋体" w:cs="宋体"/>
                <w:color w:val="auto"/>
                <w:sz w:val="24"/>
              </w:rPr>
              <w:t xml:space="preserve">O含量/%                     </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5</w:t>
            </w:r>
          </w:p>
        </w:tc>
        <w:tc>
          <w:tcPr>
            <w:tcW w:w="5685" w:type="dxa"/>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有效Ca</w:t>
            </w:r>
            <w:r>
              <w:rPr>
                <w:rFonts w:hint="default" w:ascii="宋体" w:hAnsi="宋体" w:cs="宋体"/>
                <w:color w:val="auto"/>
                <w:sz w:val="24"/>
              </w:rPr>
              <w:t>O</w:t>
            </w:r>
            <w:r>
              <w:rPr>
                <w:rFonts w:hint="eastAsia" w:ascii="宋体" w:hAnsi="宋体" w:cs="宋体"/>
                <w:color w:val="auto"/>
                <w:sz w:val="24"/>
              </w:rPr>
              <w:t>+Mg</w:t>
            </w:r>
            <w:r>
              <w:rPr>
                <w:rFonts w:hint="default" w:ascii="宋体" w:hAnsi="宋体" w:cs="宋体"/>
                <w:color w:val="auto"/>
                <w:sz w:val="24"/>
              </w:rPr>
              <w:t>O+SiO</w:t>
            </w:r>
            <w:r>
              <w:rPr>
                <w:rFonts w:hint="default" w:ascii="宋体" w:hAnsi="宋体" w:cs="宋体"/>
                <w:color w:val="auto"/>
                <w:sz w:val="24"/>
                <w:vertAlign w:val="subscript"/>
              </w:rPr>
              <w:t>3</w:t>
            </w:r>
            <w:r>
              <w:rPr>
                <w:rFonts w:hint="eastAsia" w:ascii="宋体" w:hAnsi="宋体" w:cs="宋体"/>
                <w:color w:val="auto"/>
                <w:sz w:val="24"/>
              </w:rPr>
              <w:t>含量/%</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6</w:t>
            </w:r>
          </w:p>
        </w:tc>
        <w:tc>
          <w:tcPr>
            <w:tcW w:w="5685" w:type="dxa"/>
            <w:vAlign w:val="top"/>
          </w:tcPr>
          <w:p>
            <w:pPr>
              <w:tabs>
                <w:tab w:val="left" w:pos="840"/>
              </w:tabs>
              <w:spacing w:line="440" w:lineRule="exact"/>
              <w:rPr>
                <w:rFonts w:ascii="宋体" w:hAnsi="宋体" w:cs="宋体"/>
                <w:color w:val="auto"/>
                <w:sz w:val="24"/>
              </w:rPr>
            </w:pPr>
            <w:r>
              <w:rPr>
                <w:rFonts w:hint="default" w:ascii="宋体" w:hAnsi="宋体" w:cs="宋体"/>
                <w:color w:val="auto"/>
                <w:sz w:val="24"/>
              </w:rPr>
              <w:t>Mn+Zn+Fe</w:t>
            </w:r>
            <w:r>
              <w:rPr>
                <w:rFonts w:hint="eastAsia" w:ascii="宋体" w:hAnsi="宋体" w:cs="宋体"/>
                <w:color w:val="auto"/>
                <w:sz w:val="24"/>
              </w:rPr>
              <w:t xml:space="preserve">含量/ppm                         </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w:t>
            </w:r>
            <w:r>
              <w:rPr>
                <w:rFonts w:hint="default" w:ascii="宋体" w:hAnsi="宋体" w:cs="宋体"/>
                <w:color w:val="auto"/>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7</w:t>
            </w:r>
          </w:p>
        </w:tc>
        <w:tc>
          <w:tcPr>
            <w:tcW w:w="5685" w:type="dxa"/>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氯离子的质量分数/%</w:t>
            </w:r>
          </w:p>
        </w:tc>
        <w:tc>
          <w:tcPr>
            <w:tcW w:w="1965" w:type="dxa"/>
            <w:vAlign w:val="top"/>
          </w:tcPr>
          <w:p>
            <w:pPr>
              <w:tabs>
                <w:tab w:val="left" w:pos="840"/>
              </w:tabs>
              <w:spacing w:line="440" w:lineRule="exact"/>
              <w:jc w:val="center"/>
              <w:rPr>
                <w:rFonts w:ascii="宋体" w:hAnsi="宋体" w:cs="宋体"/>
                <w:color w:val="auto"/>
                <w:sz w:val="24"/>
              </w:rPr>
            </w:pPr>
            <w:r>
              <w:rPr>
                <w:rFonts w:hint="eastAsia" w:ascii="宋体" w:hAnsi="宋体" w:cs="宋体"/>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8</w:t>
            </w:r>
          </w:p>
        </w:tc>
        <w:tc>
          <w:tcPr>
            <w:tcW w:w="7650" w:type="dxa"/>
            <w:gridSpan w:val="2"/>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其他指标符合GB</w:t>
            </w:r>
            <w:r>
              <w:rPr>
                <w:rFonts w:ascii="宋体" w:hAnsi="宋体" w:cs="宋体"/>
                <w:color w:val="auto"/>
                <w:sz w:val="24"/>
              </w:rPr>
              <w:t>/T</w:t>
            </w:r>
            <w:r>
              <w:rPr>
                <w:rFonts w:hint="eastAsia" w:ascii="宋体" w:hAnsi="宋体" w:cs="宋体"/>
                <w:color w:val="auto"/>
                <w:sz w:val="24"/>
              </w:rPr>
              <w:t>15063-20</w:t>
            </w:r>
            <w:r>
              <w:rPr>
                <w:rFonts w:ascii="宋体" w:hAnsi="宋体" w:cs="宋体"/>
                <w:color w:val="auto"/>
                <w:sz w:val="24"/>
              </w:rPr>
              <w:t>20</w:t>
            </w:r>
            <w:r>
              <w:rPr>
                <w:rFonts w:hint="eastAsia" w:ascii="宋体" w:hAnsi="宋体" w:cs="宋体"/>
                <w:color w:val="auto"/>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color w:val="auto"/>
                <w:sz w:val="24"/>
              </w:rPr>
            </w:pPr>
            <w:r>
              <w:rPr>
                <w:rFonts w:ascii="宋体" w:hAnsi="宋体" w:cs="宋体"/>
                <w:color w:val="auto"/>
                <w:sz w:val="24"/>
              </w:rPr>
              <w:t>9</w:t>
            </w:r>
          </w:p>
        </w:tc>
        <w:tc>
          <w:tcPr>
            <w:tcW w:w="7650" w:type="dxa"/>
            <w:gridSpan w:val="2"/>
            <w:vAlign w:val="top"/>
          </w:tcPr>
          <w:p>
            <w:pPr>
              <w:tabs>
                <w:tab w:val="left" w:pos="840"/>
              </w:tabs>
              <w:spacing w:line="440" w:lineRule="exact"/>
              <w:rPr>
                <w:rFonts w:ascii="宋体" w:hAnsi="宋体" w:cs="宋体"/>
                <w:color w:val="auto"/>
                <w:sz w:val="24"/>
              </w:rPr>
            </w:pPr>
            <w:r>
              <w:rPr>
                <w:rFonts w:hint="eastAsia" w:ascii="宋体" w:hAnsi="宋体" w:cs="宋体"/>
                <w:color w:val="auto"/>
                <w:sz w:val="24"/>
              </w:rPr>
              <w:t>采用25kg/袋包装，有防潮内袋</w:t>
            </w:r>
          </w:p>
        </w:tc>
      </w:tr>
    </w:tbl>
    <w:p>
      <w:pPr>
        <w:spacing w:line="460" w:lineRule="exact"/>
        <w:ind w:firstLine="498" w:firstLineChars="200"/>
        <w:rPr>
          <w:rFonts w:ascii="宋体" w:hAnsi="宋体" w:cs="宋体"/>
          <w:spacing w:val="4"/>
          <w:sz w:val="24"/>
        </w:rPr>
      </w:pPr>
      <w:r>
        <w:rPr>
          <w:rFonts w:hint="eastAsia" w:ascii="宋体" w:hAnsi="宋体" w:cs="宋体"/>
          <w:b/>
          <w:bCs/>
          <w:spacing w:val="4"/>
          <w:sz w:val="24"/>
        </w:rPr>
        <w:t>2.交货方式：</w:t>
      </w:r>
      <w:r>
        <w:rPr>
          <w:rFonts w:hint="eastAsia" w:ascii="宋体" w:hAnsi="宋体" w:cs="宋体"/>
          <w:spacing w:val="4"/>
          <w:sz w:val="24"/>
        </w:rPr>
        <w:t>按甲方需求分批供货。调运前甲方提前电话或其他双方认可的方式通知乙方，乙方应在甲方通知后的 2 日内按时送货到甲方指定交货地点。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乙方指定联系人与甲方对接，该联系人负责发货批次、时间、货物验收、检验等事项的全部事宜，甲方向该联系人发出的通知，即视为向乙方发出通知。</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3.交货地点：</w:t>
      </w:r>
      <w:r>
        <w:rPr>
          <w:rFonts w:hint="eastAsia" w:ascii="宋体" w:hAnsi="宋体" w:cs="宋体"/>
          <w:spacing w:val="4"/>
          <w:sz w:val="24"/>
        </w:rPr>
        <w:t>林地边缘三十吨汽车能到达的位置（以甲方确认为准），装车、运输费用由乙方承担，肥料转运由施工方完成。甲方应确保路况正常通行的情况下指示乙方进行运输，如中途遇到修路、无法通行等导致乙方无法送达指定地点，所产生的倒运费、装卸费乙方不再承担。</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4.交货验收及实际货量：</w:t>
      </w:r>
      <w:r>
        <w:rPr>
          <w:rFonts w:hint="eastAsia" w:ascii="宋体" w:hAnsi="宋体" w:cs="宋体"/>
          <w:spacing w:val="4"/>
          <w:sz w:val="24"/>
        </w:rPr>
        <w:t>乙方将货物送达指定交货地点应立刻通知甲方验收；甲方收到乙方验收通知后12小时内在交货地进行交货验收。甲方在交货时的验收仅指对产品包装上的名称、配方指标、数量等是否与本合同约定一致进行确认，乙方在甲方交货验收后，仍应承担保证产品质量符合本合同约定的责任。货物毁损、灭失的风险自货物被完整地运送到甲方指定交货地点、且甲方完成交货验收合格后从乙方转移到甲方。乙方货物经交货验收不合格的，甲方有权拒绝收货，乙方应在12小时内向甲方交付符合要求的货品，直至符合本合同约定的标准为止，交货期限不予延顺，若因此造成逾期交货的，乙方应按合同关于逾期交货的约定承担违约责任，不合格货物的保管和装卸费用均由乙方承担。</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甲方收货人信息</w:t>
      </w:r>
      <w:r>
        <w:rPr>
          <w:rFonts w:ascii="宋体" w:hAnsi="宋体" w:cs="宋体"/>
          <w:spacing w:val="4"/>
          <w:sz w:val="24"/>
        </w:rPr>
        <w:t>：</w:t>
      </w:r>
      <w:r>
        <w:rPr>
          <w:rFonts w:hint="eastAsia" w:ascii="宋体" w:hAnsi="宋体" w:cs="宋体"/>
          <w:spacing w:val="4"/>
          <w:sz w:val="24"/>
        </w:rPr>
        <w:t>以甲方通知为准。</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5.甲方收货时间：2023年</w:t>
      </w:r>
      <w:r>
        <w:rPr>
          <w:rFonts w:hint="eastAsia" w:ascii="宋体" w:hAnsi="宋体" w:cs="宋体"/>
          <w:b/>
          <w:bCs/>
          <w:spacing w:val="4"/>
          <w:sz w:val="24"/>
          <w:lang w:val="en-US" w:eastAsia="zh-CN"/>
        </w:rPr>
        <w:t>6月26</w:t>
      </w:r>
      <w:r>
        <w:rPr>
          <w:rFonts w:hint="eastAsia" w:ascii="宋体" w:hAnsi="宋体" w:cs="宋体"/>
          <w:b/>
          <w:bCs/>
          <w:spacing w:val="4"/>
          <w:sz w:val="24"/>
        </w:rPr>
        <w:t>日至2023年12月31日。</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6.结算方式及期限：</w:t>
      </w:r>
      <w:r>
        <w:rPr>
          <w:rFonts w:hint="eastAsia" w:ascii="宋体" w:hAnsi="宋体" w:cs="宋体"/>
          <w:spacing w:val="4"/>
          <w:sz w:val="24"/>
        </w:rPr>
        <w:t>银行转账。在乙方按时、按合同量交</w:t>
      </w:r>
      <w:r>
        <w:rPr>
          <w:rFonts w:hint="eastAsia" w:ascii="宋体" w:hAnsi="宋体" w:cs="宋体"/>
          <w:spacing w:val="4"/>
          <w:sz w:val="24"/>
          <w:lang w:val="en-US"/>
        </w:rPr>
        <w:t>付用材林</w:t>
      </w:r>
      <w:r>
        <w:rPr>
          <w:rFonts w:hint="eastAsia" w:ascii="宋体" w:hAnsi="宋体" w:cs="宋体"/>
          <w:spacing w:val="4"/>
          <w:sz w:val="24"/>
        </w:rPr>
        <w:t>复合肥料，且经甲方验收合格后，双方结算货款，乙方向甲方提交与结算货款等额的增值税普通发票，甲方在收到发票的10个工作日内将货款支付给乙方。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乙方指定收款账户为本合同载明的乙方账户。</w:t>
      </w:r>
    </w:p>
    <w:p>
      <w:pPr>
        <w:pStyle w:val="2"/>
        <w:spacing w:beforeAutospacing="0" w:afterAutospacing="0" w:line="460" w:lineRule="exact"/>
        <w:ind w:firstLine="498" w:firstLineChars="200"/>
        <w:rPr>
          <w:rFonts w:hint="default" w:cs="宋体"/>
          <w:bCs/>
          <w:spacing w:val="4"/>
          <w:sz w:val="24"/>
        </w:rPr>
      </w:pPr>
      <w:r>
        <w:rPr>
          <w:rFonts w:cs="宋体"/>
          <w:spacing w:val="4"/>
          <w:sz w:val="24"/>
        </w:rPr>
        <w:t>7.</w:t>
      </w:r>
      <w:r>
        <w:rPr>
          <w:rFonts w:cs="宋体"/>
          <w:b w:val="0"/>
          <w:bCs/>
          <w:spacing w:val="4"/>
          <w:sz w:val="24"/>
        </w:rPr>
        <w:t>成交后乙方交纳的交易保证金扣除支付给</w:t>
      </w:r>
      <w:r>
        <w:rPr>
          <w:rFonts w:hint="eastAsia" w:cs="宋体"/>
          <w:b w:val="0"/>
          <w:bCs/>
          <w:spacing w:val="4"/>
          <w:sz w:val="24"/>
          <w:lang w:eastAsia="zh-CN"/>
        </w:rPr>
        <w:t>南宁市农村产权流转交易中心</w:t>
      </w:r>
      <w:r>
        <w:rPr>
          <w:rFonts w:cs="宋体"/>
          <w:b w:val="0"/>
          <w:bCs/>
          <w:spacing w:val="4"/>
          <w:sz w:val="24"/>
        </w:rPr>
        <w:t>服务费后的余额</w:t>
      </w:r>
      <w:r>
        <w:rPr>
          <w:rFonts w:hint="eastAsia" w:cs="宋体"/>
          <w:b w:val="0"/>
          <w:bCs/>
          <w:spacing w:val="4"/>
          <w:sz w:val="24"/>
          <w:u w:val="single"/>
          <w:lang w:val="en-US" w:eastAsia="zh-CN"/>
        </w:rPr>
        <w:t xml:space="preserve">    元整</w:t>
      </w:r>
      <w:r>
        <w:rPr>
          <w:rFonts w:cs="宋体"/>
          <w:b w:val="0"/>
          <w:bCs/>
          <w:spacing w:val="4"/>
          <w:sz w:val="24"/>
          <w:u w:val="single"/>
        </w:rPr>
        <w:t>（￥</w:t>
      </w:r>
      <w:r>
        <w:rPr>
          <w:rFonts w:hint="eastAsia" w:cs="宋体"/>
          <w:b w:val="0"/>
          <w:bCs/>
          <w:spacing w:val="4"/>
          <w:sz w:val="24"/>
          <w:u w:val="single"/>
          <w:lang w:val="en-US" w:eastAsia="zh-CN"/>
        </w:rPr>
        <w:t xml:space="preserve">   </w:t>
      </w:r>
      <w:r>
        <w:rPr>
          <w:rFonts w:cs="宋体"/>
          <w:b w:val="0"/>
          <w:bCs/>
          <w:spacing w:val="4"/>
          <w:sz w:val="24"/>
          <w:u w:val="single"/>
        </w:rPr>
        <w:t>）</w:t>
      </w:r>
      <w:r>
        <w:rPr>
          <w:rFonts w:cs="宋体"/>
          <w:b w:val="0"/>
          <w:bCs/>
          <w:spacing w:val="4"/>
          <w:sz w:val="24"/>
        </w:rPr>
        <w:t>，待乙方履约完毕后，甲方在7个工作日内</w:t>
      </w:r>
      <w:r>
        <w:rPr>
          <w:rFonts w:hint="eastAsia" w:cs="宋体"/>
          <w:b w:val="0"/>
          <w:bCs/>
          <w:spacing w:val="4"/>
          <w:sz w:val="24"/>
          <w:lang w:val="en-US" w:eastAsia="zh-CN"/>
        </w:rPr>
        <w:t>无息</w:t>
      </w:r>
      <w:r>
        <w:rPr>
          <w:rFonts w:cs="宋体"/>
          <w:b w:val="0"/>
          <w:bCs/>
          <w:spacing w:val="4"/>
          <w:sz w:val="24"/>
        </w:rPr>
        <w:t>退还给乙方。</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8.其它约定事项：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（1）根据甲方的实际生产经营情况，甲方需求的货物数量有可能增加或减少，双方按实际交货数量结算，乙方对此予以认可且不得以交货数量问题向甲方提出任何主张或索赔。</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（2）为保证产品质量，甲方在使用过程中有权随机抽样检验。乙方收到甲方抽检通知后，按照甲方的要求派员到指定抽样现场，由</w:t>
      </w:r>
      <w:r>
        <w:rPr>
          <w:rFonts w:ascii="宋体" w:hAnsi="宋体" w:cs="宋体"/>
          <w:spacing w:val="4"/>
          <w:sz w:val="24"/>
        </w:rPr>
        <w:t>甲乙双方人员共同</w:t>
      </w:r>
      <w:r>
        <w:rPr>
          <w:rFonts w:hint="eastAsia" w:ascii="宋体" w:hAnsi="宋体" w:cs="宋体"/>
          <w:spacing w:val="4"/>
          <w:sz w:val="24"/>
        </w:rPr>
        <w:t>采样，并由甲方送到有资质的检测机构检测，检测结果未达到本合同第1点约定的质量要求的，按以下方式处理：</w:t>
      </w:r>
    </w:p>
    <w:p>
      <w:pPr>
        <w:tabs>
          <w:tab w:val="left" w:pos="840"/>
        </w:tabs>
        <w:spacing w:line="460" w:lineRule="exact"/>
        <w:ind w:firstLine="480" w:firstLineChars="200"/>
        <w:rPr>
          <w:rFonts w:ascii="宋体" w:hAnsi="宋体" w:cs="宋体"/>
          <w:sz w:val="24"/>
        </w:rPr>
      </w:pPr>
      <w:r>
        <w:rPr>
          <w:rFonts w:hint="eastAsia" w:ascii="宋体" w:hAnsi="宋体" w:cs="宋体"/>
          <w:sz w:val="24"/>
        </w:rPr>
        <w:t>检测结果任一项未达到本合同第1点约定的质量要求的，复检费用由乙方承担。</w:t>
      </w:r>
    </w:p>
    <w:p>
      <w:pPr>
        <w:tabs>
          <w:tab w:val="left" w:pos="840"/>
        </w:tabs>
        <w:spacing w:line="460" w:lineRule="exact"/>
        <w:ind w:firstLine="480" w:firstLineChars="200"/>
        <w:rPr>
          <w:rFonts w:ascii="宋体" w:hAnsi="宋体" w:cs="宋体"/>
          <w:spacing w:val="4"/>
          <w:sz w:val="24"/>
        </w:rPr>
      </w:pPr>
      <w:r>
        <w:rPr>
          <w:rFonts w:hint="default" w:ascii="宋体" w:hAnsi="宋体" w:cs="宋体"/>
          <w:color w:val="auto"/>
          <w:sz w:val="24"/>
        </w:rPr>
        <w:t>Mn+Zn+Fe</w:t>
      </w:r>
      <w:r>
        <w:rPr>
          <w:rFonts w:hint="eastAsia" w:ascii="宋体" w:hAnsi="宋体" w:cs="宋体"/>
          <w:color w:val="auto"/>
          <w:sz w:val="24"/>
        </w:rPr>
        <w:t>含量每降低25ppm，则扣减</w:t>
      </w:r>
      <w:r>
        <w:rPr>
          <w:rFonts w:hint="eastAsia" w:ascii="宋体" w:hAnsi="宋体" w:cs="宋体"/>
          <w:color w:val="auto"/>
          <w:spacing w:val="4"/>
          <w:sz w:val="24"/>
        </w:rPr>
        <w:t>肥料款50元/吨；第1点约定的</w:t>
      </w:r>
      <w:r>
        <w:rPr>
          <w:rFonts w:hint="eastAsia" w:ascii="宋体" w:hAnsi="宋体" w:cs="宋体"/>
          <w:color w:val="auto"/>
          <w:sz w:val="24"/>
        </w:rPr>
        <w:t>其他项目</w:t>
      </w:r>
      <w:r>
        <w:rPr>
          <w:rFonts w:hint="eastAsia" w:ascii="宋体" w:hAnsi="宋体" w:cs="宋体"/>
          <w:color w:val="auto"/>
          <w:spacing w:val="4"/>
          <w:sz w:val="24"/>
        </w:rPr>
        <w:t>指标（指</w:t>
      </w:r>
      <w:r>
        <w:rPr>
          <w:rFonts w:hint="default" w:ascii="宋体" w:hAnsi="宋体" w:cs="宋体"/>
          <w:color w:val="auto"/>
          <w:sz w:val="24"/>
        </w:rPr>
        <w:t>Mn+Zn+Fe</w:t>
      </w:r>
      <w:r>
        <w:rPr>
          <w:rFonts w:hint="eastAsia" w:ascii="宋体" w:hAnsi="宋体" w:cs="宋体"/>
          <w:color w:val="auto"/>
          <w:sz w:val="24"/>
        </w:rPr>
        <w:t>以外的其他项目指标</w:t>
      </w:r>
      <w:r>
        <w:rPr>
          <w:rFonts w:hint="eastAsia" w:ascii="宋体" w:hAnsi="宋体" w:cs="宋体"/>
          <w:color w:val="auto"/>
          <w:spacing w:val="4"/>
          <w:sz w:val="24"/>
        </w:rPr>
        <w:t>）每降低0.5个百分点，</w:t>
      </w:r>
      <w:r>
        <w:rPr>
          <w:rFonts w:hint="eastAsia" w:ascii="宋体" w:hAnsi="宋体" w:cs="宋体"/>
          <w:sz w:val="24"/>
        </w:rPr>
        <w:t>则每项扣减</w:t>
      </w:r>
      <w:r>
        <w:rPr>
          <w:rFonts w:hint="eastAsia" w:ascii="宋体" w:hAnsi="宋体" w:cs="宋体"/>
          <w:spacing w:val="4"/>
          <w:sz w:val="24"/>
        </w:rPr>
        <w:t>肥料款50元/吨。如检测结果的总养分指标低于质量要求2个百分点以上，甲方有权选择退还未使用的货物，该批次货物的保管费、装卸费用等均由乙方自行承担（如产生运输费由乙方承担）；甲方已经使用的货物，甲方不负返还义务也无需支付货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如经甲方通知乙方派人到指定地点参加抽样，而乙方未安排人员按时到场的，甲方有权单方抽样送检，乙方不得以乙方未到场为由否认此次检测结果，甲方有权以此次检测结果对乙方进行扣款或退货。乙方提供的肥料尽可能是同一批次生产，减少抽样送检次数。</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3）除战争、自然灾害、疫情等不可抗力的情况外，如乙方不能按甲方要求的时间供应本合同约定质量标准的肥料，每逾期一天，甲方有权要求乙方按照逾期交付货物金额千分之二的标准支付违约金，违约金无法弥补甲方损失的，乙方应赔偿甲方遭受的损失。乙方提供的货物未达到本合同约定标准的，甲方有权要求乙方换货或退货，甲方退货的，乙方应按该批次未达标货物价款5%的标准向甲方支付违约金，违约金无法弥补甲方损失的，乙方应赔偿甲方遭受的损失。</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（4）如乙方逾期交付达两次（含本数以上）或单次逾期交货达</w:t>
      </w:r>
      <w:r>
        <w:rPr>
          <w:rFonts w:hint="eastAsia" w:ascii="宋体" w:hAnsi="宋体" w:cs="宋体"/>
          <w:spacing w:val="4"/>
          <w:sz w:val="24"/>
          <w:lang w:val="en-US" w:eastAsia="zh-CN"/>
        </w:rPr>
        <w:t>3</w:t>
      </w:r>
      <w:r>
        <w:rPr>
          <w:rFonts w:hint="eastAsia" w:ascii="宋体" w:hAnsi="宋体" w:cs="宋体"/>
          <w:spacing w:val="4"/>
          <w:sz w:val="24"/>
        </w:rPr>
        <w:t>日的或提供的肥料经核实两次（含本数）以上不达到质量要求的，甲方有权单方解除本合同，并有权不向乙方支付逾期交付货物货款或不达质量要求货物相应货款。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（5）因乙方违约产生的违约金或赔偿金，甲方有权从未付货款中直接扣除。</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（6）甲方应按照合同约定向乙方支付货款，如甲方不能按约定向乙方支付货款的，每逾期一天，乙方有权要求甲方按照逾期支付金额千分之二的标准支付违约金。</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（7）甲方应按照约定接收货物，如因甲方原因导致货物交付不能的，货物风险由甲方承担并承担因此而产生的保费管、装卸费、运输费。</w:t>
      </w:r>
    </w:p>
    <w:p>
      <w:pPr>
        <w:tabs>
          <w:tab w:val="left" w:pos="840"/>
        </w:tabs>
        <w:spacing w:line="460" w:lineRule="exact"/>
        <w:ind w:firstLine="496" w:firstLineChars="200"/>
        <w:rPr>
          <w:rFonts w:ascii="宋体" w:hAnsi="宋体" w:cs="宋体"/>
          <w:kern w:val="0"/>
          <w:sz w:val="24"/>
        </w:rPr>
      </w:pPr>
      <w:r>
        <w:rPr>
          <w:rFonts w:hint="eastAsia" w:ascii="宋体" w:hAnsi="宋体" w:cs="宋体"/>
          <w:spacing w:val="4"/>
          <w:sz w:val="24"/>
        </w:rPr>
        <w:t>（8）</w:t>
      </w:r>
      <w:r>
        <w:rPr>
          <w:rFonts w:hint="eastAsia" w:ascii="宋体" w:hAnsi="宋体" w:cs="宋体"/>
          <w:kern w:val="0"/>
          <w:sz w:val="24"/>
        </w:rPr>
        <w:t>新冠肺炎疫情防控期间，</w:t>
      </w:r>
      <w:r>
        <w:rPr>
          <w:rFonts w:hint="eastAsia" w:ascii="宋体" w:hAnsi="宋体" w:cs="宋体"/>
          <w:spacing w:val="4"/>
          <w:sz w:val="24"/>
        </w:rPr>
        <w:t>乙方应自行提前了解并根据</w:t>
      </w:r>
      <w:r>
        <w:rPr>
          <w:rFonts w:hint="eastAsia" w:ascii="宋体" w:hAnsi="宋体" w:cs="宋体"/>
          <w:kern w:val="0"/>
          <w:sz w:val="24"/>
        </w:rPr>
        <w:t>当地相关部门</w:t>
      </w:r>
      <w:r>
        <w:rPr>
          <w:rFonts w:hint="eastAsia" w:ascii="宋体" w:hAnsi="宋体" w:cs="宋体"/>
          <w:spacing w:val="4"/>
          <w:sz w:val="24"/>
        </w:rPr>
        <w:t>疫情防控工作要求，</w:t>
      </w:r>
      <w:r>
        <w:rPr>
          <w:rFonts w:hint="eastAsia" w:ascii="宋体" w:hAnsi="宋体" w:cs="宋体"/>
          <w:kern w:val="0"/>
          <w:sz w:val="24"/>
        </w:rPr>
        <w:t>严格</w:t>
      </w:r>
      <w:r>
        <w:rPr>
          <w:rFonts w:hint="eastAsia" w:ascii="宋体" w:hAnsi="宋体" w:cs="宋体"/>
          <w:spacing w:val="4"/>
          <w:sz w:val="24"/>
        </w:rPr>
        <w:t>做好肥料生产和运输相关人员的防疫工作，由此产生的费用由乙方负责，</w:t>
      </w:r>
      <w:r>
        <w:rPr>
          <w:rFonts w:hint="eastAsia" w:ascii="宋体" w:hAnsi="宋体" w:cs="宋体"/>
          <w:kern w:val="0"/>
          <w:sz w:val="24"/>
        </w:rPr>
        <w:t>如因</w:t>
      </w:r>
      <w:r>
        <w:rPr>
          <w:rFonts w:hint="eastAsia" w:ascii="宋体" w:hAnsi="宋体" w:cs="宋体"/>
          <w:spacing w:val="4"/>
          <w:sz w:val="24"/>
        </w:rPr>
        <w:t>乙</w:t>
      </w:r>
      <w:r>
        <w:rPr>
          <w:rFonts w:hint="eastAsia" w:ascii="宋体" w:hAnsi="宋体" w:cs="宋体"/>
          <w:kern w:val="0"/>
          <w:sz w:val="24"/>
        </w:rPr>
        <w:t>方人员导致的疫情防控责任或不符合防疫要求导致的逾期由</w:t>
      </w:r>
      <w:r>
        <w:rPr>
          <w:rFonts w:hint="eastAsia" w:ascii="宋体" w:hAnsi="宋体" w:cs="宋体"/>
          <w:spacing w:val="4"/>
          <w:sz w:val="24"/>
        </w:rPr>
        <w:t>乙</w:t>
      </w:r>
      <w:r>
        <w:rPr>
          <w:rFonts w:hint="eastAsia" w:ascii="宋体" w:hAnsi="宋体" w:cs="宋体"/>
          <w:kern w:val="0"/>
          <w:sz w:val="24"/>
        </w:rPr>
        <w:t>方自行承担。</w:t>
      </w:r>
    </w:p>
    <w:p>
      <w:pPr>
        <w:tabs>
          <w:tab w:val="left" w:pos="840"/>
        </w:tabs>
        <w:spacing w:line="460" w:lineRule="exact"/>
        <w:ind w:firstLine="480" w:firstLineChars="200"/>
        <w:rPr>
          <w:rFonts w:ascii="宋体" w:hAnsi="宋体" w:cs="宋体"/>
          <w:sz w:val="24"/>
        </w:rPr>
      </w:pPr>
      <w:r>
        <w:rPr>
          <w:rFonts w:hint="eastAsia" w:ascii="宋体" w:hAnsi="宋体" w:cs="宋体"/>
          <w:kern w:val="0"/>
          <w:sz w:val="24"/>
        </w:rPr>
        <w:t>（9）若乙方上调本合同肥料单价或非因甲方原因停止供货，甲方有权要求乙方继续履行合同或单方解除合同，并有权要求乙方支付本合同总货款金额10%的违约金及赔偿甲方因乙方违反合同约定所遭受的一切损失（包括但不限于重新招标后肥料供货价格与本合同肥料价格的差价、诉讼费、律师代理费、鉴定费、公证费、合理的调查费</w:t>
      </w:r>
      <w:r>
        <w:rPr>
          <w:rFonts w:hint="eastAsia" w:ascii="宋体" w:hAnsi="宋体" w:cs="宋体"/>
          <w:kern w:val="0"/>
          <w:sz w:val="24"/>
          <w:lang w:eastAsia="zh-CN"/>
        </w:rPr>
        <w:t>、</w:t>
      </w:r>
      <w:r>
        <w:rPr>
          <w:rFonts w:hint="eastAsia" w:ascii="宋体" w:hAnsi="宋体" w:cs="宋体"/>
          <w:kern w:val="0"/>
          <w:sz w:val="24"/>
          <w:lang w:val="en-US" w:eastAsia="zh-CN"/>
        </w:rPr>
        <w:t>保全费、保全担保费</w:t>
      </w:r>
      <w:r>
        <w:rPr>
          <w:rFonts w:hint="eastAsia" w:ascii="宋体" w:hAnsi="宋体" w:cs="宋体"/>
          <w:kern w:val="0"/>
          <w:sz w:val="24"/>
        </w:rPr>
        <w:t>等）。</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9.本合同在履行中发生争议，甲乙双方协商解决，协商未果的向甲方所在地人民法院起诉</w:t>
      </w:r>
      <w:r>
        <w:rPr>
          <w:rFonts w:hint="eastAsia" w:ascii="宋体" w:hAnsi="宋体" w:cs="宋体"/>
          <w:b/>
          <w:bCs/>
          <w:spacing w:val="4"/>
          <w:sz w:val="24"/>
          <w:lang w:eastAsia="zh-CN"/>
        </w:rPr>
        <w:t>（</w:t>
      </w:r>
      <w:r>
        <w:rPr>
          <w:rFonts w:hint="eastAsia" w:ascii="宋体" w:hAnsi="宋体" w:cs="宋体"/>
          <w:b/>
          <w:bCs/>
          <w:spacing w:val="4"/>
          <w:sz w:val="24"/>
          <w:lang w:val="en-US" w:eastAsia="zh-CN"/>
        </w:rPr>
        <w:t>因诉讼所产生的诉讼费、保全费、保全担保费、律师费等支出由违约方承担</w:t>
      </w:r>
      <w:r>
        <w:rPr>
          <w:rFonts w:hint="eastAsia" w:ascii="宋体" w:hAnsi="宋体" w:cs="宋体"/>
          <w:b/>
          <w:bCs/>
          <w:spacing w:val="4"/>
          <w:sz w:val="24"/>
          <w:lang w:eastAsia="zh-CN"/>
        </w:rPr>
        <w:t>）</w:t>
      </w:r>
      <w:r>
        <w:rPr>
          <w:rFonts w:hint="eastAsia" w:ascii="宋体" w:hAnsi="宋体" w:cs="宋体"/>
          <w:b/>
          <w:bCs/>
          <w:spacing w:val="4"/>
          <w:sz w:val="24"/>
        </w:rPr>
        <w:t>。</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10.通知、送达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本合同涉及的各类通知、函件等文件以及就本合同发生纠纷时相关文件、法律文书的送达地址及法律后果作如下约定:</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（1）甲方确认其有效的送达地址为</w:t>
      </w:r>
      <w:r>
        <w:rPr>
          <w:rFonts w:hint="eastAsia" w:ascii="宋体" w:hAnsi="宋体" w:cs="宋体"/>
          <w:spacing w:val="4"/>
          <w:sz w:val="24"/>
          <w:lang w:eastAsia="zh-CN"/>
        </w:rPr>
        <w:t>：</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南宁市壮锦大道33号颐和新园5号楼</w:t>
      </w:r>
      <w:r>
        <w:rPr>
          <w:rFonts w:hint="eastAsia" w:ascii="宋体" w:hAnsi="宋体" w:cs="宋体"/>
          <w:spacing w:val="4"/>
          <w:sz w:val="24"/>
          <w:u w:val="single"/>
          <w:lang w:val="en-US" w:eastAsia="zh-CN"/>
        </w:rPr>
        <w:t xml:space="preserve"> </w:t>
      </w:r>
      <w:r>
        <w:rPr>
          <w:rFonts w:hint="eastAsia" w:ascii="宋体" w:hAnsi="宋体" w:cs="宋体"/>
          <w:spacing w:val="4"/>
          <w:sz w:val="24"/>
        </w:rPr>
        <w:t>；指定的送达邮箱为：</w:t>
      </w:r>
      <w:r>
        <w:rPr>
          <w:rFonts w:hint="eastAsia" w:ascii="宋体" w:hAnsi="宋体" w:cs="宋体"/>
          <w:sz w:val="24"/>
          <w:u w:val="single"/>
          <w:lang w:val="en-US" w:eastAsia="zh-CN"/>
        </w:rPr>
        <w:t xml:space="preserve">  </w:t>
      </w:r>
      <w:r>
        <w:rPr>
          <w:rFonts w:hint="eastAsia" w:ascii="宋体" w:hAnsi="宋体" w:cs="宋体"/>
          <w:sz w:val="24"/>
          <w:u w:val="single"/>
        </w:rPr>
        <w:t>729844599@qq.com</w:t>
      </w:r>
      <w:r>
        <w:rPr>
          <w:rFonts w:hint="eastAsia" w:ascii="宋体" w:hAnsi="宋体" w:cs="宋体"/>
          <w:sz w:val="24"/>
          <w:u w:val="single"/>
          <w:lang w:val="en-US" w:eastAsia="zh-CN"/>
        </w:rPr>
        <w:t xml:space="preserve"> </w:t>
      </w:r>
      <w:r>
        <w:rPr>
          <w:rFonts w:hint="eastAsia" w:ascii="宋体" w:hAnsi="宋体" w:cs="宋体"/>
          <w:spacing w:val="4"/>
          <w:sz w:val="24"/>
        </w:rPr>
        <w:t>；指定联系人：</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韦雄斌</w:t>
      </w:r>
      <w:r>
        <w:rPr>
          <w:rFonts w:hint="eastAsia" w:ascii="宋体" w:hAnsi="宋体" w:cs="宋体"/>
          <w:spacing w:val="4"/>
          <w:sz w:val="24"/>
          <w:u w:val="single"/>
          <w:lang w:val="en-US" w:eastAsia="zh-CN"/>
        </w:rPr>
        <w:t xml:space="preserve"> </w:t>
      </w:r>
      <w:r>
        <w:rPr>
          <w:rFonts w:hint="eastAsia" w:ascii="宋体" w:hAnsi="宋体" w:cs="宋体"/>
          <w:spacing w:val="4"/>
          <w:sz w:val="24"/>
        </w:rPr>
        <w:t>；联系电话：</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13481026807</w:t>
      </w:r>
      <w:r>
        <w:rPr>
          <w:rFonts w:hint="eastAsia" w:ascii="宋体" w:hAnsi="宋体" w:cs="宋体"/>
          <w:spacing w:val="4"/>
          <w:sz w:val="24"/>
        </w:rPr>
        <w:t>；指定的送达微信为：</w:t>
      </w:r>
      <w:r>
        <w:rPr>
          <w:rFonts w:hint="eastAsia" w:ascii="宋体" w:hAnsi="宋体" w:cs="宋体"/>
          <w:spacing w:val="4"/>
          <w:sz w:val="24"/>
          <w:u w:val="single"/>
        </w:rPr>
        <w:t>729844599</w:t>
      </w:r>
      <w:r>
        <w:rPr>
          <w:rFonts w:hint="eastAsia" w:ascii="宋体" w:hAnsi="宋体" w:cs="宋体"/>
          <w:spacing w:val="4"/>
          <w:sz w:val="24"/>
          <w:lang w:val="en-US" w:eastAsia="zh-CN"/>
        </w:rPr>
        <w:t>。</w:t>
      </w:r>
      <w:r>
        <w:rPr>
          <w:rFonts w:hint="eastAsia" w:ascii="宋体" w:hAnsi="宋体" w:cs="宋体"/>
          <w:spacing w:val="4"/>
          <w:sz w:val="24"/>
        </w:rPr>
        <w:t xml:space="preserve"> </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（2）乙方确认其有效的送达地址为：</w:t>
      </w:r>
      <w:r>
        <w:rPr>
          <w:rFonts w:hint="eastAsia" w:ascii="宋体" w:hAnsi="宋体" w:cs="宋体"/>
          <w:spacing w:val="4"/>
          <w:sz w:val="24"/>
          <w:u w:val="single"/>
          <w:lang w:val="en-US" w:eastAsia="zh-CN"/>
        </w:rPr>
        <w:t xml:space="preserve">    </w:t>
      </w:r>
      <w:r>
        <w:rPr>
          <w:rFonts w:hint="eastAsia" w:ascii="宋体" w:hAnsi="宋体" w:cs="宋体"/>
          <w:spacing w:val="4"/>
          <w:sz w:val="24"/>
        </w:rPr>
        <w:t>；指定的送达邮箱为：</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rPr>
        <w:t>；指定联系人：</w:t>
      </w:r>
      <w:r>
        <w:rPr>
          <w:rFonts w:hint="eastAsia" w:ascii="宋体" w:hAnsi="宋体" w:cs="宋体"/>
          <w:spacing w:val="4"/>
          <w:sz w:val="24"/>
          <w:u w:val="single"/>
          <w:lang w:val="en-US" w:eastAsia="zh-CN"/>
        </w:rPr>
        <w:t xml:space="preserve">     </w:t>
      </w:r>
      <w:r>
        <w:rPr>
          <w:rFonts w:hint="eastAsia" w:ascii="宋体" w:hAnsi="宋体" w:cs="宋体"/>
          <w:spacing w:val="4"/>
          <w:sz w:val="24"/>
        </w:rPr>
        <w:t>；联系电话：</w:t>
      </w:r>
      <w:r>
        <w:rPr>
          <w:rFonts w:hint="eastAsia" w:ascii="宋体" w:hAnsi="宋体" w:cs="宋体"/>
          <w:spacing w:val="4"/>
          <w:sz w:val="24"/>
          <w:u w:val="single"/>
          <w:lang w:val="en-US" w:eastAsia="zh-CN"/>
        </w:rPr>
        <w:t xml:space="preserve">     </w:t>
      </w:r>
      <w:r>
        <w:rPr>
          <w:rFonts w:hint="eastAsia" w:ascii="宋体" w:hAnsi="宋体" w:cs="宋体"/>
          <w:spacing w:val="4"/>
          <w:sz w:val="24"/>
        </w:rPr>
        <w:t>，指定的送达微信为</w:t>
      </w:r>
      <w:r>
        <w:rPr>
          <w:rFonts w:hint="eastAsia" w:ascii="宋体" w:hAnsi="宋体" w:cs="宋体"/>
          <w:spacing w:val="4"/>
          <w:sz w:val="24"/>
          <w:u w:val="single"/>
        </w:rPr>
        <w:t>：</w:t>
      </w:r>
      <w:r>
        <w:rPr>
          <w:rFonts w:hint="eastAsia" w:ascii="宋体" w:hAnsi="宋体" w:cs="宋体"/>
          <w:spacing w:val="4"/>
          <w:sz w:val="24"/>
          <w:u w:val="single"/>
          <w:lang w:val="en-US" w:eastAsia="zh-CN"/>
        </w:rPr>
        <w:t xml:space="preserve">     </w:t>
      </w:r>
      <w:r>
        <w:rPr>
          <w:rFonts w:hint="eastAsia" w:ascii="宋体" w:hAnsi="宋体" w:cs="宋体"/>
          <w:spacing w:val="4"/>
          <w:sz w:val="24"/>
        </w:rPr>
        <w:t xml:space="preserve">。 </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3）双方该送达地址、邮箱、微信适用范围包括但不限于各方非诉时各类通知、函件等文件以及就本合同发生纠纷时相关文件和法律文书的送达,同时包括在争议进入仲裁、民事诉讼程序后的一审、二审、再审和执行程序。</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（4）上述各类文书函件、通知等文件，如通过邮寄或快递送达的，发出之日起届满5日的当日视为送达；如通过电子邮件、手机短信、微信送达的，发出之日的当日视为送达。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（5）甲、乙任何一方的送达地址、邮箱、微信需要变更时应当履行通知义务,且应至少提前五个工作日通知另一方后方能启用，否则视为没有变更。</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11.本合同一式叁份，甲方执贰份，</w:t>
      </w:r>
      <w:r>
        <w:rPr>
          <w:rFonts w:ascii="宋体" w:hAnsi="宋体" w:cs="宋体"/>
          <w:b/>
          <w:bCs/>
          <w:spacing w:val="4"/>
          <w:sz w:val="24"/>
        </w:rPr>
        <w:t>乙</w:t>
      </w:r>
      <w:r>
        <w:rPr>
          <w:rFonts w:hint="eastAsia" w:ascii="宋体" w:hAnsi="宋体" w:cs="宋体"/>
          <w:b/>
          <w:bCs/>
          <w:spacing w:val="4"/>
          <w:sz w:val="24"/>
        </w:rPr>
        <w:t>方执壹份。合同自双方盖章并法定代表人或委托代理人签字之日起生效。</w:t>
      </w:r>
    </w:p>
    <w:p>
      <w:pPr>
        <w:pStyle w:val="2"/>
        <w:rPr>
          <w:rFonts w:hint="default" w:cs="宋体"/>
          <w:bCs/>
          <w:spacing w:val="4"/>
          <w:sz w:val="24"/>
        </w:rPr>
      </w:pPr>
    </w:p>
    <w:p>
      <w:pPr>
        <w:pStyle w:val="2"/>
        <w:rPr>
          <w:rFonts w:hint="default"/>
        </w:rPr>
      </w:pPr>
    </w:p>
    <w:tbl>
      <w:tblPr>
        <w:tblStyle w:val="6"/>
        <w:tblpPr w:leftFromText="180" w:rightFromText="180" w:vertAnchor="text" w:horzAnchor="margin" w:tblpXSpec="center" w:tblpY="20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5" w:type="dxa"/>
            <w:vAlign w:val="top"/>
          </w:tcPr>
          <w:p>
            <w:pPr>
              <w:spacing w:line="460" w:lineRule="exact"/>
              <w:jc w:val="center"/>
              <w:rPr>
                <w:rFonts w:ascii="宋体" w:hAnsi="宋体" w:cs="宋体"/>
                <w:b/>
                <w:szCs w:val="21"/>
              </w:rPr>
            </w:pPr>
            <w:r>
              <w:rPr>
                <w:rFonts w:hint="eastAsia" w:ascii="宋体" w:hAnsi="宋体" w:cs="宋体"/>
                <w:b/>
                <w:szCs w:val="21"/>
              </w:rPr>
              <w:t>甲      方</w:t>
            </w:r>
          </w:p>
          <w:p>
            <w:pPr>
              <w:widowControl/>
              <w:spacing w:line="360" w:lineRule="auto"/>
              <w:jc w:val="left"/>
              <w:rPr>
                <w:rFonts w:hint="eastAsia" w:ascii="宋体" w:hAnsi="宋体" w:cs="宋体"/>
                <w:b/>
                <w:szCs w:val="21"/>
              </w:rPr>
            </w:pPr>
            <w:r>
              <w:rPr>
                <w:rFonts w:hint="eastAsia" w:ascii="宋体" w:hAnsi="宋体" w:cs="宋体"/>
                <w:b/>
                <w:szCs w:val="21"/>
              </w:rPr>
              <w:t>单位名称（章）：</w:t>
            </w:r>
          </w:p>
          <w:p>
            <w:pPr>
              <w:widowControl/>
              <w:spacing w:line="360" w:lineRule="auto"/>
              <w:jc w:val="left"/>
              <w:rPr>
                <w:rFonts w:hint="eastAsia" w:ascii="宋体" w:hAnsi="宋体" w:cs="宋体"/>
                <w:b/>
                <w:szCs w:val="21"/>
              </w:rPr>
            </w:pPr>
            <w:r>
              <w:rPr>
                <w:rFonts w:hint="eastAsia" w:ascii="宋体" w:hAnsi="宋体" w:cs="宋体"/>
                <w:b/>
                <w:szCs w:val="21"/>
              </w:rPr>
              <w:t>单位地址：</w:t>
            </w:r>
          </w:p>
          <w:p>
            <w:pPr>
              <w:widowControl/>
              <w:spacing w:line="360" w:lineRule="auto"/>
              <w:jc w:val="left"/>
              <w:rPr>
                <w:rFonts w:ascii="宋体" w:hAnsi="宋体" w:cs="宋体"/>
                <w:b/>
                <w:szCs w:val="21"/>
              </w:rPr>
            </w:pPr>
            <w:r>
              <w:rPr>
                <w:rFonts w:hint="eastAsia" w:ascii="宋体" w:hAnsi="宋体" w:cs="宋体"/>
                <w:b/>
                <w:szCs w:val="21"/>
              </w:rPr>
              <w:t>法定代表人（委托代理人）：</w:t>
            </w:r>
          </w:p>
          <w:p>
            <w:pPr>
              <w:widowControl/>
              <w:spacing w:line="360" w:lineRule="auto"/>
              <w:jc w:val="left"/>
              <w:rPr>
                <w:rFonts w:hint="eastAsia" w:ascii="宋体" w:hAnsi="宋体" w:cs="宋体"/>
                <w:b/>
                <w:szCs w:val="21"/>
              </w:rPr>
            </w:pPr>
            <w:r>
              <w:rPr>
                <w:rFonts w:hint="eastAsia" w:ascii="宋体" w:hAnsi="宋体" w:cs="宋体"/>
                <w:b/>
                <w:szCs w:val="21"/>
              </w:rPr>
              <w:t>电    话：</w:t>
            </w:r>
          </w:p>
          <w:p>
            <w:pPr>
              <w:widowControl/>
              <w:spacing w:line="360" w:lineRule="auto"/>
              <w:jc w:val="left"/>
              <w:rPr>
                <w:rFonts w:hint="eastAsia" w:ascii="宋体" w:hAnsi="宋体" w:cs="宋体"/>
                <w:b/>
                <w:szCs w:val="21"/>
              </w:rPr>
            </w:pPr>
            <w:r>
              <w:rPr>
                <w:rFonts w:hint="eastAsia" w:ascii="宋体" w:hAnsi="宋体" w:cs="宋体"/>
                <w:b/>
                <w:szCs w:val="21"/>
              </w:rPr>
              <w:t>传    真：</w:t>
            </w:r>
          </w:p>
          <w:p>
            <w:pPr>
              <w:widowControl/>
              <w:spacing w:line="360" w:lineRule="auto"/>
              <w:jc w:val="left"/>
              <w:rPr>
                <w:rFonts w:hint="eastAsia" w:ascii="宋体" w:hAnsi="宋体" w:cs="宋体"/>
                <w:b/>
                <w:szCs w:val="21"/>
              </w:rPr>
            </w:pPr>
            <w:r>
              <w:rPr>
                <w:rFonts w:hint="eastAsia" w:ascii="宋体" w:hAnsi="宋体" w:cs="宋体"/>
                <w:b/>
                <w:szCs w:val="21"/>
              </w:rPr>
              <w:t>户    名：</w:t>
            </w:r>
          </w:p>
          <w:p>
            <w:pPr>
              <w:widowControl/>
              <w:spacing w:line="360" w:lineRule="auto"/>
              <w:ind w:firstLine="0" w:firstLineChars="0"/>
              <w:jc w:val="left"/>
              <w:rPr>
                <w:rFonts w:hint="eastAsia" w:ascii="宋体" w:hAnsi="宋体" w:cs="宋体"/>
                <w:b/>
                <w:szCs w:val="21"/>
              </w:rPr>
            </w:pPr>
            <w:r>
              <w:rPr>
                <w:rFonts w:hint="eastAsia" w:ascii="宋体" w:hAnsi="宋体" w:cs="宋体"/>
                <w:b/>
                <w:szCs w:val="21"/>
              </w:rPr>
              <w:t>开户银行：</w:t>
            </w:r>
          </w:p>
          <w:p>
            <w:pPr>
              <w:widowControl/>
              <w:spacing w:line="360" w:lineRule="auto"/>
              <w:ind w:firstLine="0" w:firstLineChars="0"/>
              <w:jc w:val="left"/>
              <w:rPr>
                <w:rFonts w:hint="eastAsia" w:ascii="宋体" w:hAnsi="宋体" w:cs="宋体"/>
                <w:b/>
                <w:bCs w:val="0"/>
                <w:kern w:val="0"/>
                <w:sz w:val="20"/>
                <w:szCs w:val="21"/>
              </w:rPr>
            </w:pPr>
            <w:r>
              <w:rPr>
                <w:rFonts w:hint="eastAsia" w:ascii="宋体" w:hAnsi="宋体" w:cs="宋体"/>
                <w:b/>
                <w:szCs w:val="21"/>
              </w:rPr>
              <w:t>账    号：</w:t>
            </w:r>
          </w:p>
          <w:p>
            <w:pPr>
              <w:spacing w:line="460" w:lineRule="exact"/>
              <w:rPr>
                <w:rFonts w:ascii="宋体" w:hAnsi="宋体" w:cs="宋体"/>
                <w:b/>
                <w:szCs w:val="21"/>
              </w:rPr>
            </w:pPr>
          </w:p>
        </w:tc>
        <w:tc>
          <w:tcPr>
            <w:tcW w:w="4736" w:type="dxa"/>
            <w:vAlign w:val="top"/>
          </w:tcPr>
          <w:p>
            <w:pPr>
              <w:widowControl/>
              <w:spacing w:line="360" w:lineRule="auto"/>
              <w:jc w:val="center"/>
              <w:rPr>
                <w:rFonts w:ascii="宋体" w:hAnsi="宋体" w:cs="宋体"/>
                <w:b/>
                <w:szCs w:val="21"/>
              </w:rPr>
            </w:pPr>
            <w:r>
              <w:rPr>
                <w:rFonts w:hint="eastAsia" w:ascii="宋体" w:hAnsi="宋体" w:cs="宋体"/>
                <w:b/>
                <w:szCs w:val="21"/>
              </w:rPr>
              <w:t>乙      方</w:t>
            </w:r>
          </w:p>
          <w:p>
            <w:pPr>
              <w:widowControl/>
              <w:spacing w:line="360" w:lineRule="auto"/>
              <w:jc w:val="left"/>
              <w:rPr>
                <w:rFonts w:hint="eastAsia" w:ascii="宋体" w:hAnsi="宋体" w:cs="宋体"/>
                <w:b/>
                <w:szCs w:val="21"/>
              </w:rPr>
            </w:pPr>
            <w:r>
              <w:rPr>
                <w:rFonts w:hint="eastAsia" w:ascii="宋体" w:hAnsi="宋体" w:cs="宋体"/>
                <w:b/>
                <w:szCs w:val="21"/>
              </w:rPr>
              <w:t>单位名称（章）：</w:t>
            </w:r>
          </w:p>
          <w:p>
            <w:pPr>
              <w:widowControl/>
              <w:spacing w:line="360" w:lineRule="auto"/>
              <w:jc w:val="left"/>
              <w:rPr>
                <w:rFonts w:ascii="宋体" w:hAnsi="宋体" w:cs="宋体"/>
                <w:b/>
                <w:szCs w:val="21"/>
              </w:rPr>
            </w:pPr>
            <w:r>
              <w:rPr>
                <w:rFonts w:hint="eastAsia" w:ascii="宋体" w:hAnsi="宋体" w:cs="宋体"/>
                <w:b/>
                <w:szCs w:val="21"/>
              </w:rPr>
              <w:t>单位地址：</w:t>
            </w:r>
            <w:r>
              <w:rPr>
                <w:rFonts w:hint="eastAsia" w:ascii="宋体" w:hAnsi="宋体" w:cs="宋体"/>
                <w:b/>
                <w:szCs w:val="21"/>
                <w:lang w:val="en-US" w:eastAsia="zh-CN"/>
              </w:rPr>
              <w:t xml:space="preserve">                                    </w:t>
            </w:r>
            <w:r>
              <w:rPr>
                <w:rFonts w:hint="eastAsia" w:ascii="宋体" w:hAnsi="宋体" w:cs="宋体"/>
                <w:b/>
                <w:szCs w:val="21"/>
              </w:rPr>
              <w:t xml:space="preserve">法定代表人（委托代理人）： </w:t>
            </w:r>
          </w:p>
          <w:p>
            <w:pPr>
              <w:widowControl/>
              <w:spacing w:line="360" w:lineRule="auto"/>
              <w:jc w:val="left"/>
              <w:rPr>
                <w:rFonts w:ascii="宋体" w:hAnsi="宋体" w:cs="宋体"/>
                <w:b/>
                <w:szCs w:val="21"/>
              </w:rPr>
            </w:pPr>
            <w:r>
              <w:rPr>
                <w:rFonts w:hint="eastAsia" w:ascii="宋体" w:hAnsi="宋体" w:cs="宋体"/>
                <w:b/>
                <w:szCs w:val="21"/>
              </w:rPr>
              <w:t>电    话：</w:t>
            </w:r>
          </w:p>
          <w:p>
            <w:pPr>
              <w:widowControl/>
              <w:spacing w:line="360" w:lineRule="auto"/>
              <w:jc w:val="left"/>
              <w:rPr>
                <w:rFonts w:ascii="宋体" w:hAnsi="宋体" w:cs="宋体"/>
                <w:b/>
                <w:szCs w:val="21"/>
              </w:rPr>
            </w:pPr>
            <w:r>
              <w:rPr>
                <w:rFonts w:hint="eastAsia" w:ascii="宋体" w:hAnsi="宋体" w:cs="宋体"/>
                <w:b/>
                <w:szCs w:val="21"/>
              </w:rPr>
              <w:t xml:space="preserve">传    真： </w:t>
            </w:r>
          </w:p>
          <w:p>
            <w:pPr>
              <w:widowControl/>
              <w:spacing w:line="360" w:lineRule="auto"/>
              <w:jc w:val="left"/>
              <w:rPr>
                <w:rFonts w:hint="eastAsia" w:ascii="宋体" w:hAnsi="宋体" w:cs="宋体"/>
                <w:b/>
                <w:szCs w:val="21"/>
                <w:lang w:val="en-US" w:eastAsia="zh-CN"/>
              </w:rPr>
            </w:pPr>
            <w:r>
              <w:rPr>
                <w:rFonts w:hint="eastAsia" w:ascii="宋体" w:hAnsi="宋体" w:cs="宋体"/>
                <w:b/>
                <w:szCs w:val="21"/>
              </w:rPr>
              <w:t>户    名：</w:t>
            </w:r>
            <w:r>
              <w:rPr>
                <w:rFonts w:hint="eastAsia" w:ascii="宋体" w:hAnsi="宋体" w:cs="宋体"/>
                <w:b/>
                <w:szCs w:val="21"/>
                <w:lang w:val="en-US" w:eastAsia="zh-CN"/>
              </w:rPr>
              <w:t xml:space="preserve"> </w:t>
            </w:r>
          </w:p>
          <w:p>
            <w:pPr>
              <w:widowControl/>
              <w:spacing w:line="360" w:lineRule="auto"/>
              <w:jc w:val="left"/>
              <w:rPr>
                <w:rFonts w:ascii="宋体" w:hAnsi="宋体" w:cs="宋体"/>
                <w:b/>
                <w:szCs w:val="21"/>
              </w:rPr>
            </w:pPr>
            <w:r>
              <w:rPr>
                <w:rFonts w:hint="eastAsia" w:ascii="宋体" w:hAnsi="宋体" w:cs="宋体"/>
                <w:b/>
                <w:szCs w:val="21"/>
              </w:rPr>
              <w:t>开户银行：</w:t>
            </w:r>
          </w:p>
          <w:p>
            <w:pPr>
              <w:widowControl/>
              <w:spacing w:line="360" w:lineRule="auto"/>
              <w:jc w:val="left"/>
              <w:rPr>
                <w:rFonts w:ascii="宋体" w:hAnsi="宋体" w:cs="宋体"/>
                <w:kern w:val="0"/>
                <w:szCs w:val="21"/>
              </w:rPr>
            </w:pPr>
            <w:r>
              <w:rPr>
                <w:rFonts w:hint="eastAsia" w:ascii="宋体" w:hAnsi="宋体" w:cs="宋体"/>
                <w:b/>
                <w:szCs w:val="21"/>
              </w:rPr>
              <w:t>账    号：</w:t>
            </w:r>
          </w:p>
        </w:tc>
      </w:tr>
    </w:tbl>
    <w:p>
      <w:pPr>
        <w:rPr>
          <w:rFonts w:ascii="宋体" w:hAnsi="宋体" w:cs="宋体"/>
        </w:rPr>
      </w:pPr>
    </w:p>
    <w:p>
      <w:pPr>
        <w:rPr>
          <w:rFonts w:ascii="宋体" w:hAnsi="宋体" w:cs="宋体"/>
        </w:rPr>
      </w:pPr>
      <w:bookmarkStart w:id="0" w:name="_GoBack"/>
      <w:bookmarkEnd w:id="0"/>
    </w:p>
    <w:p>
      <w:pPr>
        <w:rPr>
          <w:rFonts w:ascii="宋体" w:hAnsi="宋体" w:cs="宋体"/>
        </w:rPr>
      </w:pPr>
    </w:p>
    <w:p>
      <w:pPr>
        <w:rPr>
          <w:rFonts w:ascii="宋体" w:hAnsi="宋体" w:cs="宋体"/>
        </w:rPr>
      </w:pPr>
    </w:p>
    <w:p>
      <w:pPr>
        <w:numPr>
          <w:ilvl w:val="0"/>
          <w:numId w:val="0"/>
        </w:numPr>
        <w:ind w:leftChars="0" w:firstLine="640" w:firstLineChars="200"/>
        <w:rPr>
          <w:rFonts w:hint="default" w:ascii="仿宋_GB2312" w:hAnsi="仿宋_GB2312" w:eastAsia="仿宋_GB2312" w:cs="仿宋_GB2312"/>
          <w:sz w:val="32"/>
          <w:szCs w:val="32"/>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152B7"/>
    <w:multiLevelType w:val="singleLevel"/>
    <w:tmpl w:val="809152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160084E"/>
    <w:rsid w:val="020C4532"/>
    <w:rsid w:val="02895B83"/>
    <w:rsid w:val="02F96864"/>
    <w:rsid w:val="065C3269"/>
    <w:rsid w:val="072B545A"/>
    <w:rsid w:val="08480AA7"/>
    <w:rsid w:val="11274EE5"/>
    <w:rsid w:val="12F86B39"/>
    <w:rsid w:val="131C07CA"/>
    <w:rsid w:val="154A2F50"/>
    <w:rsid w:val="1914794C"/>
    <w:rsid w:val="1AC03845"/>
    <w:rsid w:val="1B416BA3"/>
    <w:rsid w:val="1BB97530"/>
    <w:rsid w:val="1D222311"/>
    <w:rsid w:val="1D4C2036"/>
    <w:rsid w:val="1DE8452D"/>
    <w:rsid w:val="214A6781"/>
    <w:rsid w:val="215D367E"/>
    <w:rsid w:val="22462CF1"/>
    <w:rsid w:val="22521696"/>
    <w:rsid w:val="22CE1106"/>
    <w:rsid w:val="235D4796"/>
    <w:rsid w:val="23CD4746"/>
    <w:rsid w:val="241035B6"/>
    <w:rsid w:val="26016358"/>
    <w:rsid w:val="26110D5A"/>
    <w:rsid w:val="2CA927FA"/>
    <w:rsid w:val="2CBA5D99"/>
    <w:rsid w:val="2FA31782"/>
    <w:rsid w:val="3092383C"/>
    <w:rsid w:val="318A4AB1"/>
    <w:rsid w:val="319B6894"/>
    <w:rsid w:val="319C0B7F"/>
    <w:rsid w:val="33CF2B46"/>
    <w:rsid w:val="366F2439"/>
    <w:rsid w:val="37313B18"/>
    <w:rsid w:val="39D709A6"/>
    <w:rsid w:val="3A9E0A52"/>
    <w:rsid w:val="3AA27206"/>
    <w:rsid w:val="3D7659DF"/>
    <w:rsid w:val="3DA6700D"/>
    <w:rsid w:val="3DE22EEA"/>
    <w:rsid w:val="3E7E5894"/>
    <w:rsid w:val="3F0C10F2"/>
    <w:rsid w:val="3F8A199D"/>
    <w:rsid w:val="409F5F96"/>
    <w:rsid w:val="419378A9"/>
    <w:rsid w:val="423C0527"/>
    <w:rsid w:val="455410FD"/>
    <w:rsid w:val="45C81AEB"/>
    <w:rsid w:val="45F81A27"/>
    <w:rsid w:val="45FD3366"/>
    <w:rsid w:val="4B1A06F3"/>
    <w:rsid w:val="4F276DDC"/>
    <w:rsid w:val="4FE17A31"/>
    <w:rsid w:val="50704FDD"/>
    <w:rsid w:val="51D04201"/>
    <w:rsid w:val="547D3AA2"/>
    <w:rsid w:val="54C31DFB"/>
    <w:rsid w:val="55E2551B"/>
    <w:rsid w:val="566B44F9"/>
    <w:rsid w:val="56FA587C"/>
    <w:rsid w:val="5763422E"/>
    <w:rsid w:val="576C0528"/>
    <w:rsid w:val="58C779E0"/>
    <w:rsid w:val="5C0D1BAE"/>
    <w:rsid w:val="5C5D6D2C"/>
    <w:rsid w:val="5D2769DC"/>
    <w:rsid w:val="5D641096"/>
    <w:rsid w:val="5D665A1A"/>
    <w:rsid w:val="60362BCA"/>
    <w:rsid w:val="60FA4DF7"/>
    <w:rsid w:val="61DB4C28"/>
    <w:rsid w:val="61F730E4"/>
    <w:rsid w:val="63864720"/>
    <w:rsid w:val="6598698C"/>
    <w:rsid w:val="662F72F1"/>
    <w:rsid w:val="6660394E"/>
    <w:rsid w:val="675F29F3"/>
    <w:rsid w:val="67A35754"/>
    <w:rsid w:val="694B2F84"/>
    <w:rsid w:val="6A18009C"/>
    <w:rsid w:val="6BBD714D"/>
    <w:rsid w:val="6CE801F9"/>
    <w:rsid w:val="6E980034"/>
    <w:rsid w:val="72ED3A9B"/>
    <w:rsid w:val="73C60B68"/>
    <w:rsid w:val="742D0BE7"/>
    <w:rsid w:val="74982505"/>
    <w:rsid w:val="75175B20"/>
    <w:rsid w:val="75C9091E"/>
    <w:rsid w:val="76143E0D"/>
    <w:rsid w:val="77176796"/>
    <w:rsid w:val="77E85551"/>
    <w:rsid w:val="77F23E25"/>
    <w:rsid w:val="799F7E92"/>
    <w:rsid w:val="7A4142F7"/>
    <w:rsid w:val="7BEE3352"/>
    <w:rsid w:val="7C1903CF"/>
    <w:rsid w:val="7C69156F"/>
    <w:rsid w:val="7D0E5A5A"/>
    <w:rsid w:val="7D5131A7"/>
    <w:rsid w:val="7FCA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4691</Words>
  <Characters>5044</Characters>
  <Lines>0</Lines>
  <Paragraphs>0</Paragraphs>
  <TotalTime>0</TotalTime>
  <ScaleCrop>false</ScaleCrop>
  <LinksUpToDate>false</LinksUpToDate>
  <CharactersWithSpaces>5486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2023-03-05T12:45:00Z</dcterms:created>
  <dc:creator>Ryan</dc:creator>
  <cp:lastModifiedBy>陈文彬</cp:lastModifiedBy>
  <dcterms:modified xsi:type="dcterms:W3CDTF">2023-06-16T04:40:39Z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36DF8C9E140C44DABA8C9C9842525B7D_13</vt:lpwstr>
  </property>
</Properties>
</file>