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ind w:firstLine="0" w:firstLineChars="0"/>
        <w:jc w:val="left"/>
        <w:rPr>
          <w:rFonts w:hint="default" w:ascii="仿宋" w:hAnsi="仿宋" w:eastAsia="仿宋"/>
          <w:color w:val="000000"/>
          <w:sz w:val="30"/>
          <w:szCs w:val="30"/>
          <w:highlight w:val="none"/>
          <w:u w:val="single"/>
          <w:lang w:val="en-US" w:eastAsia="zh-CN"/>
        </w:rPr>
      </w:pPr>
      <w:bookmarkStart w:id="0" w:name="_Toc96506656"/>
      <w:r>
        <w:rPr>
          <w:rFonts w:hint="eastAsia" w:ascii="仿宋" w:hAnsi="仿宋" w:eastAsia="仿宋"/>
          <w:color w:val="000000"/>
          <w:sz w:val="30"/>
          <w:szCs w:val="30"/>
          <w:highlight w:val="none"/>
          <w:u w:val="none"/>
        </w:rPr>
        <w:t>合同编号：</w:t>
      </w:r>
      <w:r>
        <w:rPr>
          <w:rFonts w:hint="eastAsia" w:ascii="仿宋" w:hAnsi="仿宋" w:eastAsia="仿宋"/>
          <w:color w:val="000000"/>
          <w:sz w:val="30"/>
          <w:szCs w:val="30"/>
          <w:highlight w:val="none"/>
          <w:u w:val="single"/>
          <w:lang w:val="en-US" w:eastAsia="zh-CN"/>
        </w:rPr>
        <w:t xml:space="preserve">                                </w:t>
      </w:r>
    </w:p>
    <w:p>
      <w:pPr>
        <w:pStyle w:val="3"/>
        <w:jc w:val="center"/>
        <w:rPr>
          <w:rFonts w:hint="eastAsia" w:ascii="方正小标宋简体" w:hAnsi="方正小标宋简体" w:eastAsia="方正小标宋简体" w:cs="方正小标宋简体"/>
          <w:b w:val="0"/>
          <w:bCs w:val="0"/>
          <w:sz w:val="36"/>
          <w:szCs w:val="36"/>
          <w:highlight w:val="none"/>
          <w:lang w:val="en-US" w:eastAsia="zh-CN"/>
        </w:rPr>
      </w:pPr>
      <w:r>
        <w:rPr>
          <w:highlight w:val="none"/>
          <w:lang w:eastAsia="zh-CN"/>
        </w:rPr>
        <w:tab/>
      </w:r>
      <w:bookmarkEnd w:id="0"/>
      <w:r>
        <w:rPr>
          <w:rFonts w:hint="eastAsia" w:ascii="方正小标宋简体" w:hAnsi="方正小标宋简体" w:eastAsia="方正小标宋简体" w:cs="方正小标宋简体"/>
          <w:b w:val="0"/>
          <w:bCs w:val="0"/>
          <w:spacing w:val="2"/>
          <w:sz w:val="36"/>
          <w:szCs w:val="36"/>
          <w:highlight w:val="none"/>
          <w:lang w:val="en-US" w:eastAsia="zh-CN"/>
        </w:rPr>
        <w:t>种植管护合同</w:t>
      </w:r>
    </w:p>
    <w:p>
      <w:pPr>
        <w:spacing w:line="480" w:lineRule="exact"/>
        <w:rPr>
          <w:rFonts w:hint="eastAsia" w:ascii="仿宋_GB2312" w:hAnsi="仿宋_GB2312" w:eastAsia="仿宋_GB2312" w:cs="仿宋_GB2312"/>
          <w:b/>
          <w:bCs/>
          <w:color w:val="000000"/>
          <w:sz w:val="32"/>
          <w:szCs w:val="32"/>
          <w:highlight w:val="none"/>
          <w:u w:val="none"/>
        </w:rPr>
      </w:pPr>
      <w:r>
        <w:rPr>
          <w:rFonts w:hint="eastAsia" w:ascii="仿宋_GB2312" w:hAnsi="仿宋_GB2312" w:eastAsia="仿宋_GB2312" w:cs="仿宋_GB2312"/>
          <w:b/>
          <w:bCs/>
          <w:color w:val="000000"/>
          <w:sz w:val="32"/>
          <w:szCs w:val="32"/>
          <w:highlight w:val="none"/>
        </w:rPr>
        <w:t>甲方：</w:t>
      </w:r>
      <w:r>
        <w:rPr>
          <w:rFonts w:hint="eastAsia" w:ascii="仿宋_GB2312" w:hAnsi="仿宋_GB2312" w:eastAsia="仿宋_GB2312" w:cs="仿宋_GB2312"/>
          <w:b/>
          <w:bCs/>
          <w:color w:val="000000"/>
          <w:sz w:val="32"/>
          <w:szCs w:val="32"/>
          <w:highlight w:val="none"/>
          <w:lang w:val="en-US" w:eastAsia="zh-CN"/>
        </w:rPr>
        <w:t>昌江海垦资源开发有限公司</w:t>
      </w:r>
    </w:p>
    <w:p>
      <w:pPr>
        <w:pStyle w:val="7"/>
        <w:spacing w:line="360" w:lineRule="auto"/>
        <w:ind w:left="18" w:leftChars="-28" w:hanging="80" w:hangingChars="25"/>
        <w:rPr>
          <w:rFonts w:hint="default" w:ascii="仿宋_GB2312" w:hAnsi="仿宋_GB2312" w:eastAsia="仿宋_GB2312" w:cs="仿宋_GB2312"/>
          <w:b/>
          <w:bCs/>
          <w:color w:val="000000"/>
          <w:sz w:val="32"/>
          <w:szCs w:val="32"/>
          <w:highlight w:val="none"/>
          <w:u w:val="single"/>
          <w:lang w:val="en-US" w:eastAsia="zh-CN"/>
        </w:rPr>
      </w:pPr>
      <w:r>
        <w:rPr>
          <w:rFonts w:hint="eastAsia" w:ascii="仿宋_GB2312" w:hAnsi="仿宋_GB2312" w:eastAsia="仿宋_GB2312" w:cs="仿宋_GB2312"/>
          <w:b/>
          <w:bCs/>
          <w:color w:val="000000"/>
          <w:sz w:val="32"/>
          <w:szCs w:val="32"/>
          <w:highlight w:val="none"/>
        </w:rPr>
        <w:t>乙方：</w:t>
      </w:r>
      <w:r>
        <w:rPr>
          <w:rFonts w:hint="eastAsia" w:ascii="仿宋_GB2312" w:hAnsi="仿宋_GB2312" w:eastAsia="仿宋_GB2312" w:cs="仿宋_GB2312"/>
          <w:b/>
          <w:bCs/>
          <w:color w:val="000000"/>
          <w:sz w:val="32"/>
          <w:szCs w:val="32"/>
          <w:highlight w:val="none"/>
          <w:u w:val="single"/>
          <w:lang w:val="en-US" w:eastAsia="zh-CN"/>
        </w:rPr>
        <w:t xml:space="preserve">                         </w:t>
      </w:r>
    </w:p>
    <w:p>
      <w:pPr>
        <w:pStyle w:val="7"/>
        <w:pageBreakBefore w:val="0"/>
        <w:widowControl w:val="0"/>
        <w:kinsoku/>
        <w:wordWrap/>
        <w:overflowPunct/>
        <w:topLinePunct w:val="0"/>
        <w:autoSpaceDE/>
        <w:autoSpaceDN/>
        <w:bidi w:val="0"/>
        <w:adjustRightInd/>
        <w:snapToGrid/>
        <w:spacing w:beforeAutospacing="0" w:after="0" w:line="520" w:lineRule="exact"/>
        <w:ind w:left="15" w:leftChars="7" w:firstLine="800" w:firstLineChars="25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根据</w:t>
      </w:r>
      <w:r>
        <w:rPr>
          <w:rFonts w:hint="eastAsia" w:ascii="仿宋_GB2312" w:hAnsi="仿宋_GB2312" w:eastAsia="仿宋_GB2312" w:cs="仿宋_GB2312"/>
          <w:color w:val="000000"/>
          <w:sz w:val="32"/>
          <w:szCs w:val="32"/>
          <w:highlight w:val="none"/>
        </w:rPr>
        <w:t>《中华人民共和国</w:t>
      </w:r>
      <w:r>
        <w:rPr>
          <w:rFonts w:hint="eastAsia" w:ascii="仿宋_GB2312" w:hAnsi="仿宋_GB2312" w:eastAsia="仿宋_GB2312" w:cs="仿宋_GB2312"/>
          <w:color w:val="000000"/>
          <w:sz w:val="32"/>
          <w:szCs w:val="32"/>
          <w:highlight w:val="none"/>
          <w:lang w:val="en-US" w:eastAsia="zh-CN"/>
        </w:rPr>
        <w:t>民法典合同编</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及相关法律法规</w:t>
      </w:r>
      <w:r>
        <w:rPr>
          <w:rFonts w:hint="eastAsia" w:ascii="仿宋_GB2312" w:hAnsi="仿宋_GB2312" w:eastAsia="仿宋_GB2312" w:cs="仿宋_GB2312"/>
          <w:color w:val="000000"/>
          <w:sz w:val="32"/>
          <w:szCs w:val="32"/>
          <w:highlight w:val="none"/>
        </w:rPr>
        <w:t>，甲乙双方</w:t>
      </w:r>
      <w:r>
        <w:rPr>
          <w:rFonts w:hint="eastAsia" w:ascii="仿宋_GB2312" w:hAnsi="仿宋_GB2312" w:eastAsia="仿宋_GB2312" w:cs="仿宋_GB2312"/>
          <w:color w:val="000000"/>
          <w:sz w:val="32"/>
          <w:szCs w:val="32"/>
          <w:highlight w:val="none"/>
          <w:lang w:val="en-US" w:eastAsia="zh-CN"/>
        </w:rPr>
        <w:t>经协商一致，</w:t>
      </w:r>
      <w:r>
        <w:rPr>
          <w:rFonts w:hint="eastAsia" w:ascii="仿宋_GB2312" w:hAnsi="仿宋_GB2312" w:eastAsia="仿宋_GB2312" w:cs="仿宋_GB2312"/>
          <w:color w:val="000000"/>
          <w:sz w:val="32"/>
          <w:szCs w:val="32"/>
          <w:highlight w:val="none"/>
        </w:rPr>
        <w:t>同意签订本</w:t>
      </w:r>
      <w:r>
        <w:rPr>
          <w:rFonts w:hint="eastAsia" w:ascii="仿宋_GB2312" w:hAnsi="仿宋_GB2312" w:eastAsia="仿宋_GB2312" w:cs="仿宋_GB2312"/>
          <w:color w:val="000000"/>
          <w:sz w:val="32"/>
          <w:szCs w:val="32"/>
          <w:highlight w:val="none"/>
          <w:lang w:val="en-US" w:eastAsia="zh-CN"/>
        </w:rPr>
        <w:t>合同（</w:t>
      </w:r>
      <w:r>
        <w:rPr>
          <w:rFonts w:hint="eastAsia" w:ascii="仿宋_GB2312" w:hAnsi="仿宋_GB2312" w:eastAsia="仿宋_GB2312" w:cs="仿宋_GB2312"/>
          <w:color w:val="000000"/>
          <w:sz w:val="32"/>
          <w:szCs w:val="32"/>
          <w:highlight w:val="none"/>
        </w:rPr>
        <w:t>详细技术说明及其他有关合同项目的特定信息由</w:t>
      </w:r>
      <w:r>
        <w:rPr>
          <w:rFonts w:hint="eastAsia" w:ascii="仿宋_GB2312" w:hAnsi="仿宋_GB2312" w:eastAsia="仿宋_GB2312" w:cs="仿宋_GB2312"/>
          <w:color w:val="000000"/>
          <w:sz w:val="32"/>
          <w:szCs w:val="32"/>
          <w:highlight w:val="none"/>
          <w:lang w:val="en-US" w:eastAsia="zh-CN"/>
        </w:rPr>
        <w:t>合同</w:t>
      </w:r>
      <w:r>
        <w:rPr>
          <w:rFonts w:hint="eastAsia" w:ascii="仿宋_GB2312" w:hAnsi="仿宋_GB2312" w:eastAsia="仿宋_GB2312" w:cs="仿宋_GB2312"/>
          <w:color w:val="000000"/>
          <w:sz w:val="32"/>
          <w:szCs w:val="32"/>
          <w:highlight w:val="none"/>
        </w:rPr>
        <w:t>附件予以说明</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共同遵守如下条款：</w:t>
      </w:r>
    </w:p>
    <w:p>
      <w:pPr>
        <w:pageBreakBefore w:val="0"/>
        <w:widowControl w:val="0"/>
        <w:kinsoku/>
        <w:wordWrap/>
        <w:overflowPunct/>
        <w:topLinePunct w:val="0"/>
        <w:autoSpaceDE/>
        <w:autoSpaceDN/>
        <w:bidi w:val="0"/>
        <w:adjustRightInd/>
        <w:snapToGrid/>
        <w:spacing w:beforeAutospacing="0" w:after="0" w:line="520" w:lineRule="exact"/>
        <w:ind w:firstLine="640" w:firstLineChars="200"/>
        <w:textAlignment w:val="auto"/>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一、合同金额</w:t>
      </w:r>
    </w:p>
    <w:p>
      <w:pPr>
        <w:pStyle w:val="4"/>
        <w:pageBreakBefore w:val="0"/>
        <w:widowControl w:val="0"/>
        <w:kinsoku/>
        <w:wordWrap/>
        <w:overflowPunct/>
        <w:topLinePunct w:val="0"/>
        <w:autoSpaceDE/>
        <w:autoSpaceDN/>
        <w:bidi w:val="0"/>
        <w:adjustRightInd/>
        <w:snapToGrid/>
        <w:spacing w:beforeAutospacing="0" w:after="0" w:line="520" w:lineRule="exact"/>
        <w:ind w:left="0" w:leftChars="0" w:firstLine="659" w:firstLineChars="206"/>
        <w:textAlignment w:val="auto"/>
        <w:rPr>
          <w:rFonts w:hint="eastAsia" w:ascii="仿宋_GB2312" w:hAnsi="仿宋_GB2312" w:eastAsia="仿宋_GB2312" w:cs="仿宋_GB2312"/>
          <w:b/>
          <w:bCs/>
          <w:color w:val="000000"/>
          <w:sz w:val="32"/>
          <w:szCs w:val="32"/>
          <w:highlight w:val="none"/>
          <w:u w:val="none"/>
        </w:rPr>
      </w:pPr>
      <w:r>
        <w:rPr>
          <w:rFonts w:hint="eastAsia" w:ascii="仿宋_GB2312" w:hAnsi="仿宋_GB2312" w:eastAsia="仿宋_GB2312" w:cs="仿宋_GB2312"/>
          <w:color w:val="000000"/>
          <w:sz w:val="32"/>
          <w:szCs w:val="32"/>
          <w:highlight w:val="none"/>
          <w:lang w:val="en-US" w:eastAsia="zh-CN"/>
        </w:rPr>
        <w:t>根据标的竞拍确认书，</w:t>
      </w:r>
      <w:r>
        <w:rPr>
          <w:rFonts w:hint="eastAsia" w:ascii="仿宋_GB2312" w:hAnsi="仿宋_GB2312" w:eastAsia="仿宋_GB2312" w:cs="仿宋_GB2312"/>
          <w:color w:val="000000"/>
          <w:sz w:val="32"/>
          <w:szCs w:val="32"/>
          <w:highlight w:val="none"/>
        </w:rPr>
        <w:t>合同金额为：</w:t>
      </w:r>
      <w:r>
        <w:rPr>
          <w:rFonts w:hint="eastAsia" w:ascii="仿宋_GB2312" w:hAnsi="仿宋_GB2312" w:eastAsia="仿宋_GB2312" w:cs="仿宋_GB2312"/>
          <w:b/>
          <w:bCs/>
          <w:color w:val="000000"/>
          <w:sz w:val="32"/>
          <w:szCs w:val="32"/>
          <w:highlight w:val="none"/>
          <w:u w:val="single"/>
          <w:lang w:val="en-US" w:eastAsia="zh-CN"/>
        </w:rPr>
        <w:t>人民币  佰  拾  万  仟  佰  拾  元整</w:t>
      </w:r>
      <w:r>
        <w:rPr>
          <w:rFonts w:hint="eastAsia" w:ascii="仿宋_GB2312" w:hAnsi="仿宋_GB2312" w:eastAsia="仿宋_GB2312" w:cs="仿宋_GB2312"/>
          <w:b/>
          <w:bCs/>
          <w:color w:val="000000"/>
          <w:sz w:val="32"/>
          <w:szCs w:val="32"/>
          <w:highlight w:val="none"/>
          <w:u w:val="single"/>
        </w:rPr>
        <w:t>（</w:t>
      </w:r>
      <w:r>
        <w:rPr>
          <w:rFonts w:hint="default" w:ascii="Arial" w:hAnsi="Arial" w:eastAsia="仿宋_GB2312" w:cs="Arial"/>
          <w:b/>
          <w:bCs/>
          <w:color w:val="000000"/>
          <w:sz w:val="32"/>
          <w:szCs w:val="32"/>
          <w:highlight w:val="none"/>
          <w:u w:val="single"/>
        </w:rPr>
        <w:t>¥</w:t>
      </w:r>
      <w:r>
        <w:rPr>
          <w:rFonts w:hint="eastAsia" w:ascii="仿宋_GB2312" w:hAnsi="仿宋_GB2312" w:eastAsia="仿宋_GB2312" w:cs="仿宋_GB2312"/>
          <w:b/>
          <w:bCs/>
          <w:color w:val="000000"/>
          <w:sz w:val="32"/>
          <w:szCs w:val="32"/>
          <w:highlight w:val="none"/>
          <w:u w:val="single"/>
          <w:lang w:val="en-US" w:eastAsia="zh-CN"/>
        </w:rPr>
        <w:t xml:space="preserve">     </w:t>
      </w:r>
      <w:r>
        <w:rPr>
          <w:rFonts w:hint="eastAsia" w:ascii="仿宋_GB2312" w:hAnsi="仿宋_GB2312" w:eastAsia="仿宋_GB2312" w:cs="仿宋_GB2312"/>
          <w:b/>
          <w:bCs/>
          <w:color w:val="000000"/>
          <w:sz w:val="32"/>
          <w:szCs w:val="32"/>
          <w:highlight w:val="none"/>
          <w:u w:val="single"/>
        </w:rPr>
        <w:t>元）</w:t>
      </w:r>
      <w:r>
        <w:rPr>
          <w:rFonts w:hint="eastAsia" w:ascii="仿宋_GB2312" w:hAnsi="仿宋_GB2312" w:eastAsia="仿宋_GB2312" w:cs="仿宋_GB2312"/>
          <w:b/>
          <w:bCs/>
          <w:color w:val="000000"/>
          <w:sz w:val="32"/>
          <w:szCs w:val="32"/>
          <w:highlight w:val="none"/>
          <w:u w:val="single"/>
          <w:lang w:eastAsia="zh-CN"/>
        </w:rPr>
        <w:t>，</w:t>
      </w:r>
      <w:r>
        <w:rPr>
          <w:rFonts w:hint="eastAsia" w:ascii="仿宋_GB2312" w:hAnsi="仿宋_GB2312" w:eastAsia="仿宋_GB2312" w:cs="仿宋_GB2312"/>
          <w:b/>
          <w:bCs/>
          <w:color w:val="000000"/>
          <w:sz w:val="32"/>
          <w:szCs w:val="32"/>
          <w:highlight w:val="none"/>
          <w:u w:val="single"/>
          <w:lang w:val="en-US" w:eastAsia="zh-CN"/>
        </w:rPr>
        <w:t>折合单价为    元/亩。</w:t>
      </w:r>
    </w:p>
    <w:p>
      <w:pPr>
        <w:pageBreakBefore w:val="0"/>
        <w:widowControl w:val="0"/>
        <w:kinsoku/>
        <w:wordWrap/>
        <w:overflowPunct/>
        <w:topLinePunct w:val="0"/>
        <w:autoSpaceDE/>
        <w:autoSpaceDN/>
        <w:bidi w:val="0"/>
        <w:adjustRightInd/>
        <w:snapToGrid/>
        <w:spacing w:beforeAutospacing="0" w:after="0" w:line="520" w:lineRule="exact"/>
        <w:ind w:firstLine="640" w:firstLineChars="200"/>
        <w:textAlignment w:val="auto"/>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二、服务范围</w:t>
      </w:r>
    </w:p>
    <w:p>
      <w:pPr>
        <w:keepNext w:val="0"/>
        <w:keepLines w:val="0"/>
        <w:pageBreakBefore w:val="0"/>
        <w:widowControl w:val="0"/>
        <w:kinsoku/>
        <w:wordWrap/>
        <w:overflowPunct/>
        <w:topLinePunct w:val="0"/>
        <w:autoSpaceDE/>
        <w:autoSpaceDN/>
        <w:bidi w:val="0"/>
        <w:adjustRightInd/>
        <w:snapToGrid/>
        <w:spacing w:beforeAutospacing="0" w:after="0" w:line="52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甲方要求乙方提供以下服务：</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本合同项下的服务指项目区水渠清理、</w:t>
      </w:r>
      <w:r>
        <w:rPr>
          <w:rFonts w:hint="eastAsia" w:ascii="仿宋_GB2312" w:hAnsi="仿宋_GB2312" w:eastAsia="仿宋_GB2312" w:cs="仿宋_GB2312"/>
          <w:color w:val="000000"/>
          <w:sz w:val="32"/>
          <w:szCs w:val="32"/>
          <w:highlight w:val="none"/>
          <w:lang w:val="en-US" w:eastAsia="zh-CN"/>
        </w:rPr>
        <w:t>田埂修复、</w:t>
      </w:r>
      <w:r>
        <w:rPr>
          <w:rFonts w:hint="eastAsia" w:ascii="仿宋_GB2312" w:hAnsi="仿宋_GB2312" w:eastAsia="仿宋_GB2312" w:cs="仿宋_GB2312"/>
          <w:color w:val="000000"/>
          <w:sz w:val="32"/>
          <w:szCs w:val="32"/>
          <w:highlight w:val="none"/>
          <w:lang w:eastAsia="zh-CN"/>
        </w:rPr>
        <w:t>旋耕平整及</w:t>
      </w:r>
      <w:r>
        <w:rPr>
          <w:rFonts w:hint="eastAsia" w:ascii="仿宋_GB2312" w:hAnsi="仿宋_GB2312" w:eastAsia="仿宋_GB2312" w:cs="仿宋_GB2312"/>
          <w:color w:val="000000"/>
          <w:sz w:val="32"/>
          <w:szCs w:val="32"/>
          <w:highlight w:val="none"/>
          <w:lang w:val="en-US" w:eastAsia="zh-CN"/>
        </w:rPr>
        <w:t>水稻种植</w:t>
      </w:r>
      <w:r>
        <w:rPr>
          <w:rFonts w:hint="eastAsia" w:ascii="仿宋_GB2312" w:hAnsi="仿宋_GB2312" w:eastAsia="仿宋_GB2312" w:cs="仿宋_GB2312"/>
          <w:color w:val="000000"/>
          <w:sz w:val="32"/>
          <w:szCs w:val="32"/>
          <w:highlight w:val="none"/>
          <w:lang w:eastAsia="zh-CN"/>
        </w:rPr>
        <w:t>期间的管护（</w:t>
      </w:r>
      <w:r>
        <w:rPr>
          <w:rFonts w:hint="eastAsia" w:ascii="仿宋_GB2312" w:hAnsi="仿宋_GB2312" w:eastAsia="仿宋_GB2312" w:cs="仿宋_GB2312"/>
          <w:color w:val="000000"/>
          <w:sz w:val="32"/>
          <w:szCs w:val="32"/>
          <w:highlight w:val="none"/>
          <w:lang w:val="en-US" w:eastAsia="zh-CN"/>
        </w:rPr>
        <w:t>包含但不限于施肥、除草等</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2、2023年在</w:t>
      </w:r>
      <w:r>
        <w:rPr>
          <w:rFonts w:hint="eastAsia" w:ascii="仿宋_GB2312" w:hAnsi="仿宋_GB2312" w:eastAsia="仿宋_GB2312" w:cs="仿宋_GB2312"/>
          <w:sz w:val="32"/>
          <w:szCs w:val="32"/>
          <w:highlight w:val="none"/>
          <w:u w:val="single"/>
          <w:lang w:val="en-US" w:eastAsia="zh-CN"/>
        </w:rPr>
        <w:t xml:space="preserve">  沙田村  </w:t>
      </w:r>
      <w:r>
        <w:rPr>
          <w:rFonts w:hint="eastAsia" w:ascii="仿宋_GB2312" w:hAnsi="仿宋_GB2312" w:eastAsia="仿宋_GB2312" w:cs="仿宋_GB2312"/>
          <w:sz w:val="32"/>
          <w:szCs w:val="32"/>
          <w:highlight w:val="none"/>
          <w:lang w:val="en-US" w:eastAsia="zh-CN"/>
        </w:rPr>
        <w:t>村耕地开垦项目新增耕地地块种植一季水稻，水稻种植管护面积不得低于沙田村耕地开垦项目新增耕地认定面积，即不得低于658.812亩，种植范围须覆盖新增耕地界线。</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3、种植管护需通过县级、省级及国家自然资源督察广州局的督查，不被列为年度耕地保护例行督察发现问题清单。</w:t>
      </w:r>
    </w:p>
    <w:p>
      <w:pPr>
        <w:pageBreakBefore w:val="0"/>
        <w:widowControl w:val="0"/>
        <w:numPr>
          <w:ilvl w:val="0"/>
          <w:numId w:val="0"/>
        </w:numPr>
        <w:kinsoku/>
        <w:wordWrap/>
        <w:overflowPunct/>
        <w:topLinePunct w:val="0"/>
        <w:autoSpaceDE/>
        <w:autoSpaceDN/>
        <w:bidi w:val="0"/>
        <w:adjustRightInd/>
        <w:snapToGrid/>
        <w:spacing w:beforeAutospacing="0" w:after="0" w:line="520" w:lineRule="exact"/>
        <w:ind w:firstLine="640" w:firstLineChars="200"/>
        <w:textAlignment w:val="auto"/>
        <w:rPr>
          <w:rFonts w:hint="eastAsia" w:ascii="仿宋_GB2312" w:hAnsi="仿宋_GB2312" w:eastAsia="仿宋_GB2312" w:cs="仿宋_GB2312"/>
          <w:b/>
          <w:bCs/>
          <w:color w:val="000000"/>
          <w:sz w:val="32"/>
          <w:szCs w:val="32"/>
          <w:highlight w:val="none"/>
          <w:lang w:eastAsia="zh-CN"/>
        </w:rPr>
      </w:pPr>
      <w:r>
        <w:rPr>
          <w:rFonts w:hint="eastAsia" w:ascii="黑体" w:hAnsi="黑体" w:eastAsia="黑体" w:cs="黑体"/>
          <w:b w:val="0"/>
          <w:bCs w:val="0"/>
          <w:color w:val="000000"/>
          <w:sz w:val="32"/>
          <w:szCs w:val="32"/>
          <w:highlight w:val="none"/>
          <w:lang w:val="en-US" w:eastAsia="zh-CN"/>
        </w:rPr>
        <w:t>三、管护</w:t>
      </w:r>
      <w:r>
        <w:rPr>
          <w:rFonts w:hint="eastAsia" w:ascii="黑体" w:hAnsi="黑体" w:eastAsia="黑体" w:cs="黑体"/>
          <w:b w:val="0"/>
          <w:bCs w:val="0"/>
          <w:color w:val="000000"/>
          <w:sz w:val="32"/>
          <w:szCs w:val="32"/>
          <w:highlight w:val="none"/>
          <w:lang w:eastAsia="zh-CN"/>
        </w:rPr>
        <w:t>完成期限</w:t>
      </w:r>
    </w:p>
    <w:p>
      <w:pPr>
        <w:pageBreakBefore w:val="0"/>
        <w:widowControl w:val="0"/>
        <w:numPr>
          <w:ilvl w:val="0"/>
          <w:numId w:val="0"/>
        </w:numPr>
        <w:kinsoku/>
        <w:wordWrap/>
        <w:overflowPunct/>
        <w:topLinePunct w:val="0"/>
        <w:autoSpaceDE/>
        <w:autoSpaceDN/>
        <w:bidi w:val="0"/>
        <w:adjustRightInd/>
        <w:snapToGrid/>
        <w:spacing w:beforeAutospacing="0" w:after="0" w:line="52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本工程于</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日开工，</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日</w:t>
      </w:r>
      <w:r>
        <w:rPr>
          <w:rFonts w:hint="eastAsia" w:ascii="仿宋_GB2312" w:hAnsi="仿宋_GB2312" w:eastAsia="仿宋_GB2312" w:cs="仿宋_GB2312"/>
          <w:color w:val="000000"/>
          <w:sz w:val="32"/>
          <w:szCs w:val="32"/>
          <w:highlight w:val="none"/>
          <w:lang w:val="en-US" w:eastAsia="zh-CN"/>
        </w:rPr>
        <w:t>内</w:t>
      </w:r>
      <w:r>
        <w:rPr>
          <w:rFonts w:hint="eastAsia" w:ascii="仿宋_GB2312" w:hAnsi="仿宋_GB2312" w:eastAsia="仿宋_GB2312" w:cs="仿宋_GB2312"/>
          <w:color w:val="000000"/>
          <w:sz w:val="32"/>
          <w:szCs w:val="32"/>
          <w:highlight w:val="none"/>
          <w:lang w:eastAsia="zh-CN"/>
        </w:rPr>
        <w:t>完成全部插秧工作</w:t>
      </w:r>
      <w:r>
        <w:rPr>
          <w:rFonts w:hint="eastAsia" w:ascii="仿宋_GB2312" w:hAnsi="仿宋_GB2312" w:eastAsia="仿宋_GB2312" w:cs="仿宋_GB2312"/>
          <w:color w:val="000000"/>
          <w:sz w:val="32"/>
          <w:szCs w:val="32"/>
          <w:highlight w:val="none"/>
        </w:rPr>
        <w:t>，乙方应按照合同约定工期组织</w:t>
      </w:r>
      <w:r>
        <w:rPr>
          <w:rFonts w:hint="eastAsia" w:ascii="仿宋_GB2312" w:hAnsi="仿宋_GB2312" w:eastAsia="仿宋_GB2312" w:cs="仿宋_GB2312"/>
          <w:color w:val="000000"/>
          <w:sz w:val="32"/>
          <w:szCs w:val="32"/>
          <w:highlight w:val="none"/>
          <w:lang w:eastAsia="zh-CN"/>
        </w:rPr>
        <w:t>作业</w:t>
      </w:r>
      <w:r>
        <w:rPr>
          <w:rFonts w:hint="eastAsia" w:ascii="仿宋_GB2312" w:hAnsi="仿宋_GB2312" w:eastAsia="仿宋_GB2312" w:cs="仿宋_GB2312"/>
          <w:color w:val="000000"/>
          <w:sz w:val="32"/>
          <w:szCs w:val="32"/>
          <w:highlight w:val="none"/>
        </w:rPr>
        <w:t>，确保</w:t>
      </w:r>
      <w:r>
        <w:rPr>
          <w:rFonts w:hint="eastAsia" w:ascii="仿宋_GB2312" w:hAnsi="仿宋_GB2312" w:eastAsia="仿宋_GB2312" w:cs="仿宋_GB2312"/>
          <w:color w:val="000000"/>
          <w:sz w:val="32"/>
          <w:szCs w:val="32"/>
          <w:highlight w:val="none"/>
          <w:lang w:val="en-US" w:eastAsia="zh-CN"/>
        </w:rPr>
        <w:t>管护</w:t>
      </w:r>
      <w:r>
        <w:rPr>
          <w:rFonts w:hint="eastAsia" w:ascii="仿宋_GB2312" w:hAnsi="仿宋_GB2312" w:eastAsia="仿宋_GB2312" w:cs="仿宋_GB2312"/>
          <w:color w:val="000000"/>
          <w:sz w:val="32"/>
          <w:szCs w:val="32"/>
          <w:highlight w:val="none"/>
        </w:rPr>
        <w:t>目标的实现。因乙方原因造成的工期延误导致甲方损失的所有费用由乙方承担；非乙方原因造成的工期延误，工期顺延。</w:t>
      </w:r>
    </w:p>
    <w:p>
      <w:pPr>
        <w:pageBreakBefore w:val="0"/>
        <w:widowControl w:val="0"/>
        <w:numPr>
          <w:ilvl w:val="0"/>
          <w:numId w:val="0"/>
        </w:numPr>
        <w:kinsoku/>
        <w:wordWrap/>
        <w:overflowPunct/>
        <w:topLinePunct w:val="0"/>
        <w:autoSpaceDE/>
        <w:autoSpaceDN/>
        <w:bidi w:val="0"/>
        <w:adjustRightInd/>
        <w:snapToGrid/>
        <w:spacing w:beforeAutospacing="0" w:after="0" w:line="520" w:lineRule="exact"/>
        <w:ind w:leftChars="0" w:firstLine="640" w:firstLineChars="200"/>
        <w:jc w:val="left"/>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四、质量要求</w:t>
      </w:r>
    </w:p>
    <w:p>
      <w:pPr>
        <w:pageBreakBefore w:val="0"/>
        <w:widowControl w:val="0"/>
        <w:numPr>
          <w:ilvl w:val="0"/>
          <w:numId w:val="0"/>
        </w:numPr>
        <w:kinsoku/>
        <w:wordWrap/>
        <w:overflowPunct/>
        <w:topLinePunct w:val="0"/>
        <w:autoSpaceDE/>
        <w:autoSpaceDN/>
        <w:bidi w:val="0"/>
        <w:adjustRightInd/>
        <w:snapToGrid/>
        <w:spacing w:beforeAutospacing="0" w:after="0" w:line="52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达到</w:t>
      </w:r>
      <w:r>
        <w:rPr>
          <w:rFonts w:hint="eastAsia" w:ascii="仿宋_GB2312" w:hAnsi="仿宋_GB2312" w:eastAsia="仿宋_GB2312" w:cs="仿宋_GB2312"/>
          <w:color w:val="000000"/>
          <w:sz w:val="32"/>
          <w:szCs w:val="32"/>
          <w:highlight w:val="none"/>
          <w:lang w:val="en-US" w:eastAsia="zh-CN"/>
        </w:rPr>
        <w:t>海南省</w:t>
      </w:r>
      <w:r>
        <w:rPr>
          <w:rFonts w:hint="eastAsia" w:ascii="仿宋_GB2312" w:hAnsi="仿宋_GB2312" w:eastAsia="仿宋_GB2312" w:cs="仿宋_GB2312"/>
          <w:color w:val="000000"/>
          <w:sz w:val="32"/>
          <w:szCs w:val="32"/>
          <w:highlight w:val="none"/>
        </w:rPr>
        <w:t>自然资源和规划</w:t>
      </w:r>
      <w:r>
        <w:rPr>
          <w:rFonts w:hint="eastAsia" w:ascii="仿宋_GB2312" w:hAnsi="仿宋_GB2312" w:eastAsia="仿宋_GB2312" w:cs="仿宋_GB2312"/>
          <w:color w:val="000000"/>
          <w:sz w:val="32"/>
          <w:szCs w:val="32"/>
          <w:highlight w:val="none"/>
          <w:lang w:val="en-US" w:eastAsia="zh-CN"/>
        </w:rPr>
        <w:t>厅、昌江县</w:t>
      </w:r>
      <w:r>
        <w:rPr>
          <w:rFonts w:hint="eastAsia" w:ascii="仿宋_GB2312" w:hAnsi="仿宋_GB2312" w:eastAsia="仿宋_GB2312" w:cs="仿宋_GB2312"/>
          <w:color w:val="000000"/>
          <w:sz w:val="32"/>
          <w:szCs w:val="32"/>
          <w:highlight w:val="none"/>
        </w:rPr>
        <w:t>自然资源和规</w:t>
      </w:r>
      <w:r>
        <w:rPr>
          <w:rFonts w:hint="eastAsia" w:ascii="仿宋_GB2312" w:hAnsi="仿宋_GB2312" w:eastAsia="仿宋_GB2312" w:cs="仿宋_GB2312"/>
          <w:color w:val="000000"/>
          <w:sz w:val="32"/>
          <w:szCs w:val="32"/>
          <w:highlight w:val="none"/>
          <w:lang w:eastAsia="zh-CN"/>
        </w:rPr>
        <w:t>划局</w:t>
      </w:r>
      <w:r>
        <w:rPr>
          <w:rFonts w:hint="eastAsia" w:ascii="仿宋_GB2312" w:hAnsi="仿宋_GB2312" w:eastAsia="仿宋_GB2312" w:cs="仿宋_GB2312"/>
          <w:color w:val="000000"/>
          <w:sz w:val="32"/>
          <w:szCs w:val="32"/>
          <w:highlight w:val="none"/>
          <w:lang w:val="en-US" w:eastAsia="zh-CN"/>
        </w:rPr>
        <w:t>新增耕地种植管护</w:t>
      </w:r>
      <w:r>
        <w:rPr>
          <w:rFonts w:hint="eastAsia" w:ascii="仿宋_GB2312" w:hAnsi="仿宋_GB2312" w:eastAsia="仿宋_GB2312" w:cs="仿宋_GB2312"/>
          <w:color w:val="000000"/>
          <w:sz w:val="32"/>
          <w:szCs w:val="32"/>
          <w:highlight w:val="none"/>
          <w:lang w:eastAsia="zh-CN"/>
        </w:rPr>
        <w:t>要求。</w:t>
      </w:r>
    </w:p>
    <w:p>
      <w:pPr>
        <w:numPr>
          <w:ilvl w:val="0"/>
          <w:numId w:val="0"/>
        </w:numPr>
        <w:spacing w:after="0" w:line="520" w:lineRule="exact"/>
        <w:ind w:firstLine="640" w:firstLineChars="200"/>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（二）水稻种植范围须覆盖全部新增耕地指标地块界线，不得出现指标核减问题。</w:t>
      </w:r>
    </w:p>
    <w:p>
      <w:pPr>
        <w:pStyle w:val="2"/>
        <w:pageBreakBefore w:val="0"/>
        <w:widowControl w:val="0"/>
        <w:numPr>
          <w:ilvl w:val="0"/>
          <w:numId w:val="0"/>
        </w:numPr>
        <w:kinsoku/>
        <w:wordWrap/>
        <w:overflowPunct/>
        <w:topLinePunct w:val="0"/>
        <w:autoSpaceDE/>
        <w:autoSpaceDN/>
        <w:bidi w:val="0"/>
        <w:adjustRightInd/>
        <w:snapToGrid/>
        <w:spacing w:before="0" w:after="0"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z w:val="32"/>
          <w:szCs w:val="32"/>
          <w:highlight w:val="none"/>
          <w:lang w:val="en-US" w:eastAsia="zh-CN"/>
        </w:rPr>
        <w:t>五、</w:t>
      </w:r>
      <w:r>
        <w:rPr>
          <w:rFonts w:hint="eastAsia" w:ascii="黑体" w:hAnsi="黑体" w:eastAsia="黑体" w:cs="黑体"/>
          <w:b w:val="0"/>
          <w:bCs w:val="0"/>
          <w:color w:val="000000"/>
          <w:sz w:val="32"/>
          <w:szCs w:val="32"/>
          <w:highlight w:val="none"/>
        </w:rPr>
        <w:t>付款方式</w:t>
      </w:r>
    </w:p>
    <w:p>
      <w:pPr>
        <w:pStyle w:val="2"/>
        <w:numPr>
          <w:ilvl w:val="0"/>
          <w:numId w:val="0"/>
        </w:numPr>
        <w:spacing w:before="0" w:after="0" w:line="540" w:lineRule="exact"/>
        <w:ind w:firstLine="640" w:firstLineChars="200"/>
        <w:rPr>
          <w:rFonts w:hint="eastAsia"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进度款支付时间节点及付款比例：签订合同后5个工作日内付合同款总价的30%；完成全部水稻插秧、秧苗出土高度达50厘米左右，经甲方会同昌江县土地储备整理交易中心验收合格，上传国土调查云后，10个工作日内支付第二期进度款至合同总价的80%；在乙方完成水稻收割、甲方收到乙方付款申请及种植过程相关资料后15个工作日内支付第三期进度款至合同总价的100%。</w:t>
      </w:r>
    </w:p>
    <w:p>
      <w:pPr>
        <w:spacing w:after="0" w:line="520" w:lineRule="exact"/>
        <w:ind w:firstLine="640" w:firstLineChars="200"/>
        <w:rPr>
          <w:rFonts w:hint="default"/>
          <w:lang w:val="en-US" w:eastAsia="zh-CN"/>
        </w:rPr>
      </w:pPr>
      <w:r>
        <w:rPr>
          <w:rFonts w:hint="eastAsia" w:ascii="仿宋_GB2312" w:hAnsi="仿宋_GB2312" w:eastAsia="仿宋_GB2312" w:cs="仿宋_GB2312"/>
          <w:b w:val="0"/>
          <w:bCs w:val="0"/>
          <w:color w:val="000000"/>
          <w:sz w:val="32"/>
          <w:szCs w:val="32"/>
          <w:highlight w:val="none"/>
          <w:lang w:val="en-US" w:eastAsia="zh-CN" w:bidi="ar-SA"/>
        </w:rPr>
        <w:t>乙方完成验收合格的面积不得低于合同约定的种植面积，但甲方付款总额不高于合同总价。如乙方完成验收合格的实际面积大于合同约定面积，则以合同总价结算；如乙方完成验收合格的实际面积小于合同约定的面积，以中标单价</w:t>
      </w:r>
      <w:r>
        <w:rPr>
          <w:rFonts w:hint="eastAsia" w:ascii="仿宋_GB2312" w:hAnsi="仿宋_GB2312" w:eastAsia="仿宋_GB2312" w:cs="仿宋_GB2312"/>
          <w:b w:val="0"/>
          <w:bCs w:val="0"/>
          <w:color w:val="000000"/>
          <w:sz w:val="32"/>
          <w:szCs w:val="32"/>
          <w:highlight w:val="none"/>
          <w:u w:val="single"/>
          <w:lang w:val="en-US" w:eastAsia="zh-CN" w:bidi="ar-SA"/>
        </w:rPr>
        <w:t xml:space="preserve">     </w:t>
      </w:r>
      <w:r>
        <w:rPr>
          <w:rFonts w:hint="eastAsia" w:ascii="仿宋_GB2312" w:hAnsi="仿宋_GB2312" w:eastAsia="仿宋_GB2312" w:cs="仿宋_GB2312"/>
          <w:b w:val="0"/>
          <w:bCs w:val="0"/>
          <w:color w:val="000000"/>
          <w:sz w:val="32"/>
          <w:szCs w:val="32"/>
          <w:highlight w:val="none"/>
          <w:lang w:val="en-US" w:eastAsia="zh-CN" w:bidi="ar-SA"/>
        </w:rPr>
        <w:t>元/亩的标准按实际面积结算。</w:t>
      </w:r>
    </w:p>
    <w:p>
      <w:pPr>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b w:val="0"/>
          <w:bCs w:val="0"/>
          <w:color w:val="000000"/>
          <w:sz w:val="32"/>
          <w:szCs w:val="32"/>
          <w:highlight w:val="none"/>
          <w:lang w:val="en-US" w:eastAsia="zh-CN"/>
        </w:rPr>
        <w:t>六、</w:t>
      </w:r>
      <w:r>
        <w:rPr>
          <w:rFonts w:hint="eastAsia" w:ascii="黑体" w:hAnsi="黑体" w:eastAsia="黑体" w:cs="黑体"/>
          <w:b w:val="0"/>
          <w:bCs w:val="0"/>
          <w:color w:val="000000"/>
          <w:sz w:val="32"/>
          <w:szCs w:val="32"/>
          <w:highlight w:val="none"/>
          <w:lang w:eastAsia="zh-CN"/>
        </w:rPr>
        <w:t>权利和义务</w:t>
      </w:r>
    </w:p>
    <w:p>
      <w:pPr>
        <w:pageBreakBefore w:val="0"/>
        <w:widowControl w:val="0"/>
        <w:numPr>
          <w:ilvl w:val="0"/>
          <w:numId w:val="1"/>
        </w:numPr>
        <w:kinsoku/>
        <w:wordWrap/>
        <w:overflowPunct/>
        <w:topLinePunct w:val="0"/>
        <w:autoSpaceDE/>
        <w:autoSpaceDN/>
        <w:bidi w:val="0"/>
        <w:adjustRightInd/>
        <w:snapToGrid/>
        <w:spacing w:after="0" w:line="520" w:lineRule="exact"/>
        <w:ind w:left="178" w:leftChars="0" w:firstLine="482"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sz w:val="32"/>
          <w:szCs w:val="32"/>
          <w:highlight w:val="none"/>
          <w:lang w:val="en-US" w:eastAsia="zh-CN"/>
        </w:rPr>
        <w:t>甲方的权利与义务</w:t>
      </w:r>
    </w:p>
    <w:p>
      <w:pPr>
        <w:spacing w:line="520" w:lineRule="exact"/>
        <w:ind w:firstLine="640" w:firstLineChars="200"/>
        <w:rPr>
          <w:rFonts w:hint="eastAsia"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1、甲方应保证项目区土地无争议，乙方种植工程不受任何干扰，如有争议，由甲方负责全权处理，因此造成的工期延误，工期相应顺延，因土地争议不能按约定时间完成种植而产生的任何责任与乙方无关。</w:t>
      </w:r>
    </w:p>
    <w:p>
      <w:pPr>
        <w:pStyle w:val="2"/>
        <w:spacing w:before="0" w:after="0" w:line="520" w:lineRule="exact"/>
        <w:ind w:firstLine="640" w:firstLineChars="200"/>
        <w:rPr>
          <w:rFonts w:hint="eastAsia"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2、乙方通过申报种植管护获得的各类</w:t>
      </w:r>
      <w:r>
        <w:rPr>
          <w:rFonts w:hint="eastAsia" w:ascii="仿宋_GB2312" w:hAnsi="仿宋_GB2312" w:eastAsia="仿宋_GB2312" w:cs="仿宋_GB2312"/>
          <w:b w:val="0"/>
          <w:bCs w:val="0"/>
          <w:color w:val="000000"/>
          <w:kern w:val="0"/>
          <w:sz w:val="32"/>
          <w:szCs w:val="32"/>
          <w:highlight w:val="none"/>
          <w:lang w:val="en-US" w:eastAsia="zh-CN"/>
        </w:rPr>
        <w:t>奖补资金总额的50%归甲方所有。</w:t>
      </w:r>
      <w:bookmarkStart w:id="1" w:name="_GoBack"/>
      <w:bookmarkEnd w:id="1"/>
    </w:p>
    <w:p>
      <w:pPr>
        <w:pStyle w:val="2"/>
        <w:numPr>
          <w:ilvl w:val="0"/>
          <w:numId w:val="0"/>
        </w:numPr>
        <w:spacing w:before="0" w:after="0" w:line="520" w:lineRule="exact"/>
        <w:ind w:firstLine="640" w:firstLineChars="200"/>
        <w:rPr>
          <w:rFonts w:hint="eastAsia"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3、水稻种植管护须符合新增耕地管护标准，甲乙双方应在水稻插秧完成后秧苗出土50厘米左右进行验收。</w:t>
      </w:r>
    </w:p>
    <w:p>
      <w:pPr>
        <w:pStyle w:val="2"/>
        <w:numPr>
          <w:ilvl w:val="0"/>
          <w:numId w:val="0"/>
        </w:numPr>
        <w:spacing w:before="0" w:after="0" w:line="520" w:lineRule="exact"/>
        <w:ind w:firstLine="640" w:firstLineChars="200"/>
        <w:rPr>
          <w:rFonts w:hint="eastAsia"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4、乙方生产人员进场后，甲乙双方核实实际需种植面积，并以省级新增耕地认定面积作为验收和结算支付面积。</w:t>
      </w:r>
    </w:p>
    <w:p>
      <w:pPr>
        <w:pStyle w:val="2"/>
        <w:numPr>
          <w:ilvl w:val="0"/>
          <w:numId w:val="0"/>
        </w:numPr>
        <w:spacing w:before="0" w:after="0" w:line="520" w:lineRule="exact"/>
        <w:ind w:firstLine="640" w:firstLineChars="200"/>
        <w:rPr>
          <w:rFonts w:hint="default"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5、如经甲方巡查乙方工作进度和质量可能无法满足甲方验收要求的，甲方向乙方发函催告后，如乙方在合理期限内未能整改的，甲方有权解除合同，甲方不予支付剩余的合同款项，双方按项目种植现状进行结算（未达标完成的部分不予计入结算范围）。合同解除后，乙方必须在三日内退场，自行结清与民工、农民的工资，无条件接受甲方或甲方另行安排的第三方的对土地及种植现状的接管，否则甲方可强制接管。乙方不得以尚未结算等理由拒绝退场，拒不退场的，按日以合同总价的</w:t>
      </w:r>
      <w:r>
        <w:rPr>
          <w:rFonts w:hint="eastAsia" w:ascii="仿宋_GB2312" w:hAnsi="仿宋_GB2312" w:eastAsia="仿宋_GB2312" w:cs="仿宋_GB2312"/>
          <w:b w:val="0"/>
          <w:bCs w:val="0"/>
          <w:color w:val="000000"/>
          <w:sz w:val="32"/>
          <w:szCs w:val="32"/>
          <w:highlight w:val="none"/>
          <w:lang w:val="en-US" w:eastAsia="zh-CN"/>
        </w:rPr>
        <w:t>万分之五</w:t>
      </w:r>
      <w:r>
        <w:rPr>
          <w:rFonts w:hint="eastAsia" w:ascii="仿宋_GB2312" w:hAnsi="仿宋_GB2312" w:eastAsia="仿宋_GB2312" w:cs="仿宋_GB2312"/>
          <w:b w:val="0"/>
          <w:bCs w:val="0"/>
          <w:color w:val="000000"/>
          <w:sz w:val="32"/>
          <w:szCs w:val="32"/>
          <w:highlight w:val="none"/>
          <w:lang w:val="en-US" w:eastAsia="zh-CN" w:bidi="ar-SA"/>
        </w:rPr>
        <w:t>计付违约金。</w:t>
      </w:r>
    </w:p>
    <w:p>
      <w:pPr>
        <w:numPr>
          <w:ilvl w:val="0"/>
          <w:numId w:val="0"/>
        </w:numPr>
        <w:spacing w:after="0" w:line="540" w:lineRule="exact"/>
        <w:ind w:firstLine="640" w:firstLineChars="200"/>
        <w:rPr>
          <w:rFonts w:hint="default"/>
          <w:lang w:val="en-US" w:eastAsia="zh-CN"/>
        </w:rPr>
      </w:pPr>
      <w:r>
        <w:rPr>
          <w:rFonts w:hint="eastAsia" w:ascii="仿宋_GB2312" w:hAnsi="仿宋_GB2312" w:eastAsia="仿宋_GB2312" w:cs="仿宋_GB2312"/>
          <w:b w:val="0"/>
          <w:bCs w:val="0"/>
          <w:color w:val="000000"/>
          <w:sz w:val="32"/>
          <w:szCs w:val="32"/>
          <w:highlight w:val="none"/>
          <w:lang w:val="en-US" w:eastAsia="zh-CN" w:bidi="ar-SA"/>
        </w:rPr>
        <w:t>6、乙方按工作进度及种植现状提请甲方进行验收而甲方未能及时验收的，甲方应在乙方完成水稻收割后15个工作日内支付进度款至合同总价的100%。如甲方逾期未能按时支付进度款，按日以合同总价的</w:t>
      </w:r>
      <w:r>
        <w:rPr>
          <w:rFonts w:hint="eastAsia" w:ascii="仿宋_GB2312" w:hAnsi="仿宋_GB2312" w:eastAsia="仿宋_GB2312" w:cs="仿宋_GB2312"/>
          <w:color w:val="000000"/>
          <w:sz w:val="32"/>
          <w:szCs w:val="32"/>
          <w:highlight w:val="none"/>
          <w:lang w:val="en-US" w:eastAsia="zh-CN"/>
        </w:rPr>
        <w:t>万分之五</w:t>
      </w:r>
      <w:r>
        <w:rPr>
          <w:rFonts w:hint="eastAsia" w:ascii="仿宋_GB2312" w:hAnsi="仿宋_GB2312" w:eastAsia="仿宋_GB2312" w:cs="仿宋_GB2312"/>
          <w:b w:val="0"/>
          <w:bCs w:val="0"/>
          <w:color w:val="000000"/>
          <w:sz w:val="32"/>
          <w:szCs w:val="32"/>
          <w:highlight w:val="none"/>
          <w:lang w:val="en-US" w:eastAsia="zh-CN" w:bidi="ar-SA"/>
        </w:rPr>
        <w:t>计付违约金。</w:t>
      </w:r>
    </w:p>
    <w:p>
      <w:pPr>
        <w:pageBreakBefore w:val="0"/>
        <w:widowControl w:val="0"/>
        <w:numPr>
          <w:ilvl w:val="-1"/>
          <w:numId w:val="0"/>
        </w:numPr>
        <w:kinsoku/>
        <w:wordWrap/>
        <w:overflowPunct/>
        <w:topLinePunct w:val="0"/>
        <w:autoSpaceDE/>
        <w:autoSpaceDN/>
        <w:bidi w:val="0"/>
        <w:adjustRightInd/>
        <w:snapToGrid/>
        <w:spacing w:after="0" w:line="520" w:lineRule="exact"/>
        <w:ind w:firstLine="643" w:firstLineChars="200"/>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color w:val="000000"/>
          <w:sz w:val="32"/>
          <w:szCs w:val="32"/>
          <w:highlight w:val="none"/>
          <w:lang w:val="en-US" w:eastAsia="zh-CN"/>
        </w:rPr>
        <w:t>乙方的权利与义务</w:t>
      </w:r>
    </w:p>
    <w:p>
      <w:pPr>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1、遵守国家有关法律、法规和当地乡规民约，因乙方施工导致的罚款、赔偿、诉讼等均由乙方负责，并承担相应的责任和费用。</w:t>
      </w:r>
    </w:p>
    <w:p>
      <w:pPr>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2、乙方不得拖欠民工、农民工资，否则甲方有权代扣支付。乙方需及时向甲方提供民工、农民工资表，如乙方不提供，甲方有权停付款项。如因乙方拖欠工资导致甲方根据政府部门要求必须直接向民工、农民付工资的，由此甲方垫付的全部费用甲方可向乙方追偿（或从应付款中抵扣），同时乙方应向甲方支付合同总价百分之20%的违约金，相应的诉讼费、律师费等维权费用及垫付资金的利息均由乙方承担。</w:t>
      </w:r>
    </w:p>
    <w:p>
      <w:pPr>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3、乙方应当配合甲方办理相关税费抵扣等手续。</w:t>
      </w:r>
    </w:p>
    <w:p>
      <w:pPr>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4、乙方应当按当地政府有关规定办理相关手续，并承担相应费用。</w:t>
      </w:r>
    </w:p>
    <w:p>
      <w:pPr>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5、乙方应为生产人员购买保险，确保安全生产过程，并对生产管理过程的安全承担全部责任。水稻种植的人员住宿费、生活水电费、交通费等，全由乙方承担。</w:t>
      </w:r>
    </w:p>
    <w:p>
      <w:pPr>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6、按照甲方提供的新增耕地界线及种植地块完成种植，水稻种植收益归乙方所有。</w:t>
      </w:r>
    </w:p>
    <w:p>
      <w:pPr>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7、乙方负责申报种植管护应获得的</w:t>
      </w:r>
      <w:r>
        <w:rPr>
          <w:rFonts w:hint="eastAsia" w:ascii="仿宋_GB2312" w:hAnsi="仿宋_GB2312" w:eastAsia="仿宋_GB2312" w:cs="仿宋_GB2312"/>
          <w:b w:val="0"/>
          <w:bCs w:val="0"/>
          <w:color w:val="000000"/>
          <w:kern w:val="0"/>
          <w:sz w:val="32"/>
          <w:szCs w:val="32"/>
          <w:highlight w:val="none"/>
          <w:lang w:val="en-US" w:eastAsia="zh-CN"/>
        </w:rPr>
        <w:t>各类奖补资金，申报所得的各类奖补资金由甲乙双方各获得50%。</w:t>
      </w:r>
    </w:p>
    <w:p>
      <w:pPr>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ascii="仿宋_GB2312" w:hAnsi="仿宋_GB2312" w:eastAsia="仿宋_GB2312" w:cs="仿宋_GB2312"/>
          <w:b w:val="0"/>
          <w:bCs w:val="0"/>
          <w:color w:val="000000"/>
          <w:sz w:val="32"/>
          <w:szCs w:val="32"/>
          <w:highlight w:val="none"/>
          <w:lang w:val="en-US" w:eastAsia="zh-CN" w:bidi="ar-SA"/>
        </w:rPr>
      </w:pPr>
      <w:r>
        <w:rPr>
          <w:rFonts w:hint="eastAsia" w:ascii="仿宋_GB2312" w:hAnsi="仿宋_GB2312" w:eastAsia="仿宋_GB2312" w:cs="仿宋_GB2312"/>
          <w:b w:val="0"/>
          <w:bCs w:val="0"/>
          <w:color w:val="000000"/>
          <w:sz w:val="32"/>
          <w:szCs w:val="32"/>
          <w:highlight w:val="none"/>
          <w:lang w:val="en-US" w:eastAsia="zh-CN" w:bidi="ar-SA"/>
        </w:rPr>
        <w:t>8、在水稻收割前5个工作日将收割计划书面呈报甲方。</w:t>
      </w:r>
    </w:p>
    <w:p>
      <w:pPr>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default"/>
          <w:lang w:val="en-US" w:eastAsia="zh-CN"/>
        </w:rPr>
      </w:pPr>
      <w:r>
        <w:rPr>
          <w:rFonts w:hint="eastAsia" w:ascii="仿宋_GB2312" w:hAnsi="仿宋_GB2312" w:eastAsia="仿宋_GB2312" w:cs="仿宋_GB2312"/>
          <w:b w:val="0"/>
          <w:bCs w:val="0"/>
          <w:color w:val="000000"/>
          <w:sz w:val="32"/>
          <w:szCs w:val="32"/>
          <w:highlight w:val="none"/>
          <w:lang w:val="en-US" w:eastAsia="zh-CN" w:bidi="ar-SA"/>
        </w:rPr>
        <w:t>9、落实对项目区进行水渠清理、旋耕平整及水稻生长周期期间的管护，种植管护成果需通过县级、省级乃至国家级的督查。</w:t>
      </w:r>
    </w:p>
    <w:p>
      <w:pPr>
        <w:pageBreakBefore w:val="0"/>
        <w:widowControl w:val="0"/>
        <w:numPr>
          <w:ilvl w:val="0"/>
          <w:numId w:val="0"/>
        </w:numPr>
        <w:kinsoku/>
        <w:wordWrap/>
        <w:overflowPunct/>
        <w:topLinePunct w:val="0"/>
        <w:autoSpaceDE/>
        <w:autoSpaceDN/>
        <w:bidi w:val="0"/>
        <w:adjustRightInd/>
        <w:snapToGrid/>
        <w:spacing w:after="0" w:line="520" w:lineRule="exact"/>
        <w:ind w:leftChars="0" w:firstLine="640" w:firstLineChars="200"/>
        <w:textAlignment w:val="auto"/>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七、违约责任与赔偿损失</w:t>
      </w:r>
    </w:p>
    <w:p>
      <w:pPr>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1、 乙方提供的服务不符合本合同规定的，甲方有权拒收，并且乙方须向甲方支付本合同总价2</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eastAsia="zh-CN"/>
        </w:rPr>
        <w:t>%的违约金。</w:t>
      </w:r>
    </w:p>
    <w:p>
      <w:pPr>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2、乙方未能按本合同规定的交货时间提供服务，从逾期之日起每日按本合同总价</w:t>
      </w:r>
      <w:r>
        <w:rPr>
          <w:rFonts w:hint="eastAsia" w:ascii="仿宋_GB2312" w:hAnsi="仿宋_GB2312" w:eastAsia="仿宋_GB2312" w:cs="仿宋_GB2312"/>
          <w:color w:val="000000"/>
          <w:sz w:val="32"/>
          <w:szCs w:val="32"/>
          <w:highlight w:val="none"/>
          <w:lang w:val="en-US" w:eastAsia="zh-CN"/>
        </w:rPr>
        <w:t>万分之五</w:t>
      </w:r>
      <w:r>
        <w:rPr>
          <w:rFonts w:hint="eastAsia" w:ascii="仿宋_GB2312" w:hAnsi="仿宋_GB2312" w:eastAsia="仿宋_GB2312" w:cs="仿宋_GB2312"/>
          <w:color w:val="000000"/>
          <w:sz w:val="32"/>
          <w:szCs w:val="32"/>
          <w:highlight w:val="none"/>
          <w:lang w:eastAsia="zh-CN"/>
        </w:rPr>
        <w:t>的数额向甲方支付违约金；逾期半个月以上的，甲方有权终止合同，由此造成的甲方经济损失由乙方承担。</w:t>
      </w:r>
    </w:p>
    <w:p>
      <w:pPr>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3、甲方无正当理由拒收接受服务，到期拒付服务款项的，则每日按本合同总价的</w:t>
      </w:r>
      <w:r>
        <w:rPr>
          <w:rFonts w:hint="eastAsia" w:ascii="仿宋_GB2312" w:hAnsi="仿宋_GB2312" w:eastAsia="仿宋_GB2312" w:cs="仿宋_GB2312"/>
          <w:color w:val="000000"/>
          <w:sz w:val="32"/>
          <w:szCs w:val="32"/>
          <w:highlight w:val="none"/>
          <w:lang w:val="en-US" w:eastAsia="zh-CN"/>
        </w:rPr>
        <w:t>万分之五</w:t>
      </w:r>
      <w:r>
        <w:rPr>
          <w:rFonts w:hint="eastAsia" w:ascii="仿宋_GB2312" w:hAnsi="仿宋_GB2312" w:eastAsia="仿宋_GB2312" w:cs="仿宋_GB2312"/>
          <w:color w:val="000000"/>
          <w:sz w:val="32"/>
          <w:szCs w:val="32"/>
          <w:highlight w:val="none"/>
          <w:lang w:eastAsia="zh-CN"/>
        </w:rPr>
        <w:t>向乙方偿付违约金。</w:t>
      </w:r>
    </w:p>
    <w:p>
      <w:pPr>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sz w:val="32"/>
          <w:szCs w:val="32"/>
          <w:highlight w:val="none"/>
          <w:lang w:val="en-US" w:eastAsia="zh-CN"/>
        </w:rPr>
        <w:t>在依据本合同履约过程中所产生的法律责任及党风廉政风险、违法、违规、违纪风险，由双方各自承担，如造成相对方损失的，违约方应承担赔偿责任。</w:t>
      </w:r>
    </w:p>
    <w:p>
      <w:pPr>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、其它违约责任按《中华人民共和国</w:t>
      </w:r>
      <w:r>
        <w:rPr>
          <w:rFonts w:hint="eastAsia" w:ascii="仿宋_GB2312" w:hAnsi="仿宋_GB2312" w:eastAsia="仿宋_GB2312" w:cs="仿宋_GB2312"/>
          <w:color w:val="000000"/>
          <w:sz w:val="32"/>
          <w:szCs w:val="32"/>
          <w:highlight w:val="none"/>
          <w:lang w:val="en-US" w:eastAsia="zh-CN"/>
        </w:rPr>
        <w:t>民法典</w:t>
      </w:r>
      <w:r>
        <w:rPr>
          <w:rFonts w:hint="eastAsia" w:ascii="仿宋_GB2312" w:hAnsi="仿宋_GB2312" w:eastAsia="仿宋_GB2312" w:cs="仿宋_GB2312"/>
          <w:color w:val="000000"/>
          <w:sz w:val="32"/>
          <w:szCs w:val="32"/>
          <w:highlight w:val="none"/>
          <w:lang w:eastAsia="zh-CN"/>
        </w:rPr>
        <w:t>》处理。</w:t>
      </w:r>
    </w:p>
    <w:p>
      <w:pPr>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val="en-US" w:eastAsia="zh-CN"/>
        </w:rPr>
        <w:t>八</w:t>
      </w:r>
      <w:r>
        <w:rPr>
          <w:rFonts w:hint="eastAsia" w:ascii="黑体" w:hAnsi="黑体" w:eastAsia="黑体" w:cs="黑体"/>
          <w:b w:val="0"/>
          <w:bCs w:val="0"/>
          <w:color w:val="000000"/>
          <w:sz w:val="32"/>
          <w:szCs w:val="32"/>
          <w:highlight w:val="none"/>
          <w:lang w:eastAsia="zh-CN"/>
        </w:rPr>
        <w:t>、争端的解决</w:t>
      </w:r>
    </w:p>
    <w:p>
      <w:pPr>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合同执行过程中发生的任何争议，</w:t>
      </w:r>
      <w:r>
        <w:rPr>
          <w:rFonts w:hint="eastAsia" w:ascii="仿宋_GB2312" w:hAnsi="仿宋_GB2312" w:eastAsia="仿宋_GB2312" w:cs="仿宋_GB2312"/>
          <w:color w:val="000000"/>
          <w:sz w:val="32"/>
          <w:szCs w:val="32"/>
          <w:highlight w:val="none"/>
          <w:lang w:val="en-US" w:eastAsia="zh-CN"/>
        </w:rPr>
        <w:t>应优先</w:t>
      </w:r>
      <w:r>
        <w:rPr>
          <w:rFonts w:hint="eastAsia" w:ascii="仿宋_GB2312" w:hAnsi="仿宋_GB2312" w:eastAsia="仿宋_GB2312" w:cs="仿宋_GB2312"/>
          <w:color w:val="000000"/>
          <w:sz w:val="32"/>
          <w:szCs w:val="32"/>
          <w:highlight w:val="none"/>
          <w:lang w:eastAsia="zh-CN"/>
        </w:rPr>
        <w:t>通过友好协商解决，如双方不能通过友好协商解决，按相关法律法规处理。</w:t>
      </w:r>
    </w:p>
    <w:p>
      <w:pPr>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val="en-US" w:eastAsia="zh-CN"/>
        </w:rPr>
        <w:t>九、</w:t>
      </w:r>
      <w:r>
        <w:rPr>
          <w:rFonts w:hint="eastAsia" w:ascii="黑体" w:hAnsi="黑体" w:eastAsia="黑体" w:cs="黑体"/>
          <w:b w:val="0"/>
          <w:bCs w:val="0"/>
          <w:color w:val="000000"/>
          <w:sz w:val="32"/>
          <w:szCs w:val="32"/>
          <w:highlight w:val="none"/>
          <w:lang w:eastAsia="zh-CN"/>
        </w:rPr>
        <w:t>不可抗力</w:t>
      </w:r>
    </w:p>
    <w:p>
      <w:pPr>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任何一方由于不可抗力原因不能履行合同时，应在不可抗力事件</w:t>
      </w:r>
      <w:r>
        <w:rPr>
          <w:rFonts w:hint="eastAsia" w:ascii="仿宋_GB2312" w:hAnsi="仿宋_GB2312" w:eastAsia="仿宋_GB2312" w:cs="仿宋_GB2312"/>
          <w:color w:val="000000"/>
          <w:sz w:val="32"/>
          <w:szCs w:val="32"/>
          <w:highlight w:val="none"/>
          <w:lang w:val="en-US" w:eastAsia="zh-CN"/>
        </w:rPr>
        <w:t>开始</w:t>
      </w:r>
      <w:r>
        <w:rPr>
          <w:rFonts w:hint="eastAsia" w:ascii="仿宋_GB2312" w:hAnsi="仿宋_GB2312" w:eastAsia="仿宋_GB2312" w:cs="仿宋_GB2312"/>
          <w:color w:val="000000"/>
          <w:sz w:val="32"/>
          <w:szCs w:val="32"/>
          <w:highlight w:val="none"/>
          <w:lang w:eastAsia="zh-CN"/>
        </w:rPr>
        <w:t>后1日内向对方通报，以减轻可能给对方造成的损失，在取得有关机构的不可抗力证明或双方谅解确认后，允许延期履行或修订合同，并根据情况可部分或全部免于承担违约责任。</w:t>
      </w:r>
    </w:p>
    <w:p>
      <w:pPr>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十、其它</w:t>
      </w:r>
    </w:p>
    <w:p>
      <w:pPr>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1、 本合同所有附件均为合同的有效组成部分，与本合同具有同等法律效力。</w:t>
      </w:r>
    </w:p>
    <w:p>
      <w:pPr>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2、在执行本合同的过程中，所有经双方签署确认的文件（包括会议纪要、补充协议、往来信函）即成为本合同的有效组成部分。</w:t>
      </w:r>
    </w:p>
    <w:p>
      <w:pPr>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 xml:space="preserve">3、 如一方地址、电话、传真号码有变更，应在变更当日内书面通知对方，否则，应承担相应责任。 </w:t>
      </w:r>
    </w:p>
    <w:p>
      <w:pPr>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4、 除甲方事先书面同意外，乙方不得部分或全部转让其应履行的合同项下的义务。</w:t>
      </w:r>
    </w:p>
    <w:p>
      <w:pPr>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十</w:t>
      </w:r>
      <w:r>
        <w:rPr>
          <w:rFonts w:hint="eastAsia" w:ascii="黑体" w:hAnsi="黑体" w:eastAsia="黑体" w:cs="黑体"/>
          <w:b w:val="0"/>
          <w:bCs w:val="0"/>
          <w:color w:val="000000"/>
          <w:sz w:val="32"/>
          <w:szCs w:val="32"/>
          <w:highlight w:val="none"/>
          <w:lang w:val="en-US" w:eastAsia="zh-CN"/>
        </w:rPr>
        <w:t>一</w:t>
      </w:r>
      <w:r>
        <w:rPr>
          <w:rFonts w:hint="eastAsia" w:ascii="黑体" w:hAnsi="黑体" w:eastAsia="黑体" w:cs="黑体"/>
          <w:b w:val="0"/>
          <w:bCs w:val="0"/>
          <w:color w:val="000000"/>
          <w:sz w:val="32"/>
          <w:szCs w:val="32"/>
          <w:highlight w:val="none"/>
          <w:lang w:eastAsia="zh-CN"/>
        </w:rPr>
        <w:t>、合同生效</w:t>
      </w:r>
    </w:p>
    <w:p>
      <w:pPr>
        <w:pageBreakBefore w:val="0"/>
        <w:widowControl w:val="0"/>
        <w:kinsoku/>
        <w:wordWrap/>
        <w:overflowPunct/>
        <w:topLinePunct w:val="0"/>
        <w:autoSpaceDE/>
        <w:autoSpaceDN/>
        <w:bidi w:val="0"/>
        <w:adjustRightInd/>
        <w:snapToGrid/>
        <w:spacing w:after="0" w:line="520" w:lineRule="exact"/>
        <w:ind w:right="-53" w:rightChars="-24"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lang w:eastAsia="zh-CN"/>
        </w:rPr>
        <w:t>）本合同在甲乙双方法人代表或其授权代表签字盖章后生效。如有未尽事宜，由双方依法订立补充合同。</w:t>
      </w:r>
    </w:p>
    <w:p>
      <w:pPr>
        <w:pageBreakBefore w:val="0"/>
        <w:widowControl w:val="0"/>
        <w:kinsoku/>
        <w:wordWrap/>
        <w:overflowPunct/>
        <w:topLinePunct w:val="0"/>
        <w:autoSpaceDE/>
        <w:autoSpaceDN/>
        <w:bidi w:val="0"/>
        <w:adjustRightInd/>
        <w:snapToGrid/>
        <w:spacing w:after="0" w:line="520" w:lineRule="exact"/>
        <w:ind w:firstLine="643"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val="en-US" w:eastAsia="zh-CN"/>
        </w:rPr>
        <w:t>二</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本合同一式肆份，自双方签章之日起生效。甲方二份，乙方二份。</w:t>
      </w:r>
    </w:p>
    <w:p>
      <w:pPr>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000000"/>
          <w:sz w:val="32"/>
          <w:szCs w:val="32"/>
          <w:highlight w:val="none"/>
          <w:lang w:eastAsia="zh-CN"/>
        </w:rPr>
      </w:pPr>
    </w:p>
    <w:p>
      <w:pPr>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以下无正文</w:t>
      </w:r>
      <w:r>
        <w:rPr>
          <w:rFonts w:hint="eastAsia" w:ascii="仿宋_GB2312" w:hAnsi="仿宋_GB2312" w:eastAsia="仿宋_GB2312" w:cs="仿宋_GB2312"/>
          <w:color w:val="000000"/>
          <w:sz w:val="32"/>
          <w:szCs w:val="32"/>
          <w:highlight w:val="none"/>
          <w:lang w:eastAsia="zh-CN"/>
        </w:rPr>
        <w:t>）</w:t>
      </w:r>
    </w:p>
    <w:p>
      <w:pPr>
        <w:pStyle w:val="2"/>
        <w:spacing w:before="0" w:after="0" w:line="520" w:lineRule="exact"/>
        <w:rPr>
          <w:rFonts w:hint="eastAsia" w:ascii="仿宋_GB2312" w:hAnsi="仿宋_GB2312"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 xml:space="preserve">甲方（盖章）：  </w:t>
      </w:r>
      <w:r>
        <w:rPr>
          <w:rFonts w:hint="eastAsia" w:ascii="仿宋_GB2312" w:hAnsi="仿宋_GB2312" w:eastAsia="仿宋_GB2312" w:cs="仿宋_GB2312"/>
          <w:color w:val="000000"/>
          <w:sz w:val="32"/>
          <w:szCs w:val="32"/>
          <w:highlight w:val="none"/>
          <w:lang w:val="en-US" w:eastAsia="zh-CN"/>
        </w:rPr>
        <w:t>昌江海垦资源开发有限公司</w:t>
      </w:r>
      <w:r>
        <w:rPr>
          <w:rFonts w:hint="eastAsia" w:ascii="仿宋_GB2312" w:hAnsi="仿宋_GB2312" w:eastAsia="仿宋_GB2312" w:cs="仿宋_GB2312"/>
          <w:color w:val="000000"/>
          <w:sz w:val="32"/>
          <w:szCs w:val="32"/>
          <w:highlight w:val="none"/>
          <w:lang w:eastAsia="zh-CN"/>
        </w:rPr>
        <w:t xml:space="preserve"> </w:t>
      </w:r>
      <w:r>
        <w:rPr>
          <w:rFonts w:hint="eastAsia" w:ascii="仿宋_GB2312" w:hAnsi="仿宋_GB2312" w:eastAsia="仿宋_GB2312" w:cs="仿宋_GB2312"/>
          <w:color w:val="000000"/>
          <w:sz w:val="32"/>
          <w:szCs w:val="32"/>
          <w:highlight w:val="none"/>
          <w:lang w:eastAsia="zh-CN"/>
        </w:rPr>
        <w:tab/>
      </w:r>
      <w:r>
        <w:rPr>
          <w:rFonts w:hint="eastAsia" w:ascii="仿宋_GB2312" w:hAnsi="仿宋_GB2312" w:eastAsia="仿宋_GB2312" w:cs="仿宋_GB2312"/>
          <w:color w:val="000000"/>
          <w:sz w:val="32"/>
          <w:szCs w:val="32"/>
          <w:highlight w:val="none"/>
          <w:lang w:eastAsia="zh-CN"/>
        </w:rPr>
        <w:tab/>
      </w:r>
      <w:r>
        <w:rPr>
          <w:rFonts w:hint="eastAsia" w:ascii="仿宋_GB2312" w:hAnsi="仿宋_GB2312" w:eastAsia="仿宋_GB2312" w:cs="仿宋_GB2312"/>
          <w:color w:val="000000"/>
          <w:sz w:val="32"/>
          <w:szCs w:val="32"/>
          <w:highlight w:val="none"/>
          <w:lang w:eastAsia="zh-CN"/>
        </w:rPr>
        <w:t xml:space="preserve">   </w:t>
      </w:r>
      <w:r>
        <w:rPr>
          <w:rFonts w:hint="eastAsia" w:ascii="仿宋_GB2312" w:hAnsi="仿宋_GB2312" w:eastAsia="仿宋_GB2312" w:cs="仿宋_GB2312"/>
          <w:color w:val="00000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 xml:space="preserve">法定代表人（授权代表）：    </w:t>
      </w:r>
    </w:p>
    <w:p>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地    址：</w:t>
      </w:r>
      <w:r>
        <w:rPr>
          <w:rFonts w:hint="eastAsia" w:ascii="仿宋_GB2312" w:hAnsi="仿宋_GB2312" w:eastAsia="仿宋_GB2312" w:cs="仿宋_GB2312"/>
          <w:color w:val="000000"/>
          <w:sz w:val="32"/>
          <w:szCs w:val="32"/>
          <w:highlight w:val="none"/>
          <w:lang w:val="en-US" w:eastAsia="zh-CN"/>
        </w:rPr>
        <w:t>海南省昌江县石碌镇昌垦一横路1号</w:t>
      </w:r>
    </w:p>
    <w:p>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 xml:space="preserve">开户银行：                         </w:t>
      </w:r>
    </w:p>
    <w:p>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账</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号：                                              电    话：</w:t>
      </w:r>
    </w:p>
    <w:p>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 xml:space="preserve">                     </w:t>
      </w:r>
      <w:r>
        <w:rPr>
          <w:rFonts w:hint="eastAsia" w:ascii="仿宋_GB2312" w:hAnsi="仿宋_GB2312" w:eastAsia="仿宋_GB2312" w:cs="仿宋_GB2312"/>
          <w:color w:val="000000"/>
          <w:sz w:val="32"/>
          <w:szCs w:val="32"/>
          <w:highlight w:val="none"/>
          <w:lang w:eastAsia="zh-CN"/>
        </w:rPr>
        <w:tab/>
      </w:r>
      <w:r>
        <w:rPr>
          <w:rFonts w:hint="eastAsia" w:ascii="仿宋_GB2312" w:hAnsi="仿宋_GB2312" w:eastAsia="仿宋_GB2312" w:cs="仿宋_GB2312"/>
          <w:color w:val="000000"/>
          <w:sz w:val="32"/>
          <w:szCs w:val="32"/>
          <w:highlight w:val="none"/>
          <w:lang w:eastAsia="zh-CN"/>
        </w:rPr>
        <w:t xml:space="preserve">   </w:t>
      </w:r>
      <w:r>
        <w:rPr>
          <w:rFonts w:hint="eastAsia" w:ascii="仿宋_GB2312" w:hAnsi="仿宋_GB2312" w:eastAsia="仿宋_GB2312" w:cs="仿宋_GB2312"/>
          <w:color w:val="00000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 xml:space="preserve">乙方（盖章）：     </w:t>
      </w:r>
    </w:p>
    <w:p>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法定代表人（授权代表）：</w:t>
      </w:r>
    </w:p>
    <w:p>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 xml:space="preserve">地    址：  </w:t>
      </w:r>
    </w:p>
    <w:p>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 xml:space="preserve">开户银行： </w:t>
      </w:r>
    </w:p>
    <w:p>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账</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号：</w:t>
      </w:r>
    </w:p>
    <w:p>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 xml:space="preserve">电   话：   </w:t>
      </w:r>
    </w:p>
    <w:p>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 xml:space="preserve">传  </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真：</w:t>
      </w:r>
    </w:p>
    <w:p>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签约日期：</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年</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月</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 xml:space="preserve">日 </w:t>
      </w:r>
      <w:r>
        <w:rPr>
          <w:rFonts w:hint="eastAsia" w:ascii="仿宋_GB2312" w:hAnsi="仿宋_GB2312" w:eastAsia="仿宋_GB2312" w:cs="仿宋_GB2312"/>
          <w:color w:val="000000"/>
          <w:sz w:val="32"/>
          <w:szCs w:val="32"/>
          <w:highlight w:val="none"/>
          <w:lang w:eastAsia="zh-CN"/>
        </w:rPr>
        <w:tab/>
      </w:r>
    </w:p>
    <w:p>
      <w:pPr>
        <w:spacing w:after="0" w:line="520" w:lineRule="exact"/>
        <w:ind w:firstLine="0" w:firstLineChars="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签订地点：海南省昌江县石碌镇</w:t>
      </w:r>
    </w:p>
    <w:p/>
    <w:sectPr>
      <w:pgSz w:w="11906" w:h="16838"/>
      <w:pgMar w:top="1440" w:right="174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BFB41"/>
    <w:multiLevelType w:val="singleLevel"/>
    <w:tmpl w:val="8D5BFB41"/>
    <w:lvl w:ilvl="0" w:tentative="0">
      <w:start w:val="1"/>
      <w:numFmt w:val="chineseCounting"/>
      <w:suff w:val="nothing"/>
      <w:lvlText w:val="（%1）"/>
      <w:lvlJc w:val="left"/>
      <w:pPr>
        <w:ind w:left="178"/>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MmY5N2U3ZmZkNjk1ZmUyNDFiMzA3YjI2Y2Q4ZjIifQ=="/>
  </w:docVars>
  <w:rsids>
    <w:rsidRoot w:val="406F1D6C"/>
    <w:rsid w:val="02B22DB0"/>
    <w:rsid w:val="06693D3F"/>
    <w:rsid w:val="06B140AD"/>
    <w:rsid w:val="06B72618"/>
    <w:rsid w:val="06D32584"/>
    <w:rsid w:val="07716A68"/>
    <w:rsid w:val="077C3872"/>
    <w:rsid w:val="07E71416"/>
    <w:rsid w:val="085C4EF0"/>
    <w:rsid w:val="098E786D"/>
    <w:rsid w:val="0AB81E59"/>
    <w:rsid w:val="0D5A59E1"/>
    <w:rsid w:val="0D977A13"/>
    <w:rsid w:val="0D9C273F"/>
    <w:rsid w:val="0DF63CF6"/>
    <w:rsid w:val="0E596F18"/>
    <w:rsid w:val="0F997E86"/>
    <w:rsid w:val="0FE05083"/>
    <w:rsid w:val="10DD6BF6"/>
    <w:rsid w:val="120436FD"/>
    <w:rsid w:val="123707B0"/>
    <w:rsid w:val="13CB7123"/>
    <w:rsid w:val="14B7032D"/>
    <w:rsid w:val="14E71578"/>
    <w:rsid w:val="151240FE"/>
    <w:rsid w:val="15FC72CD"/>
    <w:rsid w:val="167A26BC"/>
    <w:rsid w:val="16A81503"/>
    <w:rsid w:val="17697ADF"/>
    <w:rsid w:val="177D6416"/>
    <w:rsid w:val="193C2C3B"/>
    <w:rsid w:val="199A1546"/>
    <w:rsid w:val="1AC540C1"/>
    <w:rsid w:val="1B2B737F"/>
    <w:rsid w:val="1B6D4B23"/>
    <w:rsid w:val="1C411EE7"/>
    <w:rsid w:val="1EF328AA"/>
    <w:rsid w:val="1F4860F9"/>
    <w:rsid w:val="2364528A"/>
    <w:rsid w:val="243B1F27"/>
    <w:rsid w:val="257F3613"/>
    <w:rsid w:val="2697085D"/>
    <w:rsid w:val="27642C26"/>
    <w:rsid w:val="282F6417"/>
    <w:rsid w:val="28933223"/>
    <w:rsid w:val="293D37DE"/>
    <w:rsid w:val="295377DC"/>
    <w:rsid w:val="29693E94"/>
    <w:rsid w:val="2A5E64FB"/>
    <w:rsid w:val="2AF156C7"/>
    <w:rsid w:val="30E66ACC"/>
    <w:rsid w:val="35091AD6"/>
    <w:rsid w:val="35533EB0"/>
    <w:rsid w:val="3568190D"/>
    <w:rsid w:val="36300C1B"/>
    <w:rsid w:val="3663634A"/>
    <w:rsid w:val="37FB6EDC"/>
    <w:rsid w:val="38710629"/>
    <w:rsid w:val="38802E42"/>
    <w:rsid w:val="391144C0"/>
    <w:rsid w:val="39A76B8F"/>
    <w:rsid w:val="3A2C6295"/>
    <w:rsid w:val="3A91635E"/>
    <w:rsid w:val="3C0B1717"/>
    <w:rsid w:val="3D263ADF"/>
    <w:rsid w:val="3EB44638"/>
    <w:rsid w:val="3ED943EF"/>
    <w:rsid w:val="3FA96A80"/>
    <w:rsid w:val="401007D3"/>
    <w:rsid w:val="406F1D6C"/>
    <w:rsid w:val="42854AE6"/>
    <w:rsid w:val="43891FC1"/>
    <w:rsid w:val="445B0426"/>
    <w:rsid w:val="447B7B1B"/>
    <w:rsid w:val="44D83825"/>
    <w:rsid w:val="44E00A5F"/>
    <w:rsid w:val="458F380C"/>
    <w:rsid w:val="478D0946"/>
    <w:rsid w:val="47F65F8D"/>
    <w:rsid w:val="49AD5BED"/>
    <w:rsid w:val="4ACC05C3"/>
    <w:rsid w:val="4B0D6F53"/>
    <w:rsid w:val="4CC4400D"/>
    <w:rsid w:val="4D612815"/>
    <w:rsid w:val="4E902AFD"/>
    <w:rsid w:val="515330A9"/>
    <w:rsid w:val="530C3278"/>
    <w:rsid w:val="53D859A5"/>
    <w:rsid w:val="53F939D0"/>
    <w:rsid w:val="544D7D8B"/>
    <w:rsid w:val="54955781"/>
    <w:rsid w:val="55881A6F"/>
    <w:rsid w:val="59306EB1"/>
    <w:rsid w:val="594920B3"/>
    <w:rsid w:val="59723D50"/>
    <w:rsid w:val="59B223EA"/>
    <w:rsid w:val="59D0764B"/>
    <w:rsid w:val="59E00B01"/>
    <w:rsid w:val="59E53BC6"/>
    <w:rsid w:val="59F52B0A"/>
    <w:rsid w:val="5ACB37B8"/>
    <w:rsid w:val="5ADA311A"/>
    <w:rsid w:val="5EFA5141"/>
    <w:rsid w:val="625F5104"/>
    <w:rsid w:val="62780FB3"/>
    <w:rsid w:val="63F35708"/>
    <w:rsid w:val="647A24D5"/>
    <w:rsid w:val="65346662"/>
    <w:rsid w:val="65B37BFE"/>
    <w:rsid w:val="662158CC"/>
    <w:rsid w:val="66A743CB"/>
    <w:rsid w:val="675204DD"/>
    <w:rsid w:val="68842444"/>
    <w:rsid w:val="693D0411"/>
    <w:rsid w:val="69473047"/>
    <w:rsid w:val="69EC2F71"/>
    <w:rsid w:val="6EBF31DC"/>
    <w:rsid w:val="6EDF244A"/>
    <w:rsid w:val="6FBF3724"/>
    <w:rsid w:val="70C04AF1"/>
    <w:rsid w:val="71285C0F"/>
    <w:rsid w:val="72242B96"/>
    <w:rsid w:val="73DE0464"/>
    <w:rsid w:val="74DB4881"/>
    <w:rsid w:val="74E93BDD"/>
    <w:rsid w:val="75523261"/>
    <w:rsid w:val="76A755F6"/>
    <w:rsid w:val="76B778C5"/>
    <w:rsid w:val="77F617A3"/>
    <w:rsid w:val="7A170370"/>
    <w:rsid w:val="7CC647FA"/>
    <w:rsid w:val="7E0578C1"/>
    <w:rsid w:val="7E310CBB"/>
    <w:rsid w:val="7E9014A7"/>
    <w:rsid w:val="7EA96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Calibri" w:hAnsi="Calibri" w:eastAsia="宋体" w:cs="Times New Roman"/>
      <w:sz w:val="22"/>
      <w:szCs w:val="22"/>
      <w:lang w:val="en-US" w:eastAsia="en-US"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99"/>
    <w:pPr>
      <w:spacing w:after="0" w:line="240" w:lineRule="auto"/>
      <w:jc w:val="both"/>
    </w:pPr>
    <w:rPr>
      <w:rFonts w:ascii="宋体" w:hAnsi="Courier New" w:eastAsia="宋体" w:cs="Times New Roman"/>
      <w:sz w:val="20"/>
      <w:szCs w:val="20"/>
      <w:lang w:eastAsia="zh-CN"/>
    </w:rPr>
  </w:style>
  <w:style w:type="paragraph" w:customStyle="1" w:styleId="7">
    <w:name w:val="样式 首行缩进:  2 字符"/>
    <w:basedOn w:val="1"/>
    <w:qFormat/>
    <w:uiPriority w:val="0"/>
    <w:pPr>
      <w:spacing w:after="0" w:line="400" w:lineRule="exact"/>
      <w:ind w:firstLine="200" w:firstLineChars="200"/>
      <w:jc w:val="both"/>
    </w:pPr>
    <w:rPr>
      <w:rFonts w:ascii="宋体" w:hAnsi="Calibri" w:eastAsia="宋体" w:cs="宋体"/>
      <w:sz w:val="24"/>
      <w:szCs w:val="20"/>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2022-11-26T11:03:00Z</dcterms:created>
  <dc:creator>伯纳德</dc:creator>
  <cp:lastModifiedBy>符永立</cp:lastModifiedBy>
  <cp:lastPrinted>2023-07-04T08:45:00Z</cp:lastPrinted>
  <dcterms:modified xsi:type="dcterms:W3CDTF">2023-07-05T10:08:50Z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628CD9C5C54F488ABEFF263F410DF785</vt:lpwstr>
  </property>
</Properties>
</file>