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4"/>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合同号：LWLT-2023</w:t>
      </w:r>
      <w:r>
        <w:rPr>
          <w:rFonts w:hint="eastAsia" w:ascii="仿宋_GB2312" w:hAnsi="仿宋_GB2312" w:eastAsia="仿宋_GB2312" w:cs="仿宋_GB2312"/>
          <w:sz w:val="28"/>
          <w:szCs w:val="28"/>
          <w:lang w:val="en-US" w:eastAsia="zh-CN"/>
        </w:rPr>
        <w:t>33</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4"/>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根据南宁市农村产权流转交易中心2023年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石塘林场场部林站7林班、8林班；平洋林站9林班</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w:t>
      </w:r>
      <w:r>
        <w:rPr>
          <w:rFonts w:hint="eastAsia" w:ascii="仿宋_GB2312" w:hAnsi="仿宋_GB2312" w:eastAsia="仿宋_GB2312" w:cs="仿宋_GB2312"/>
          <w:sz w:val="28"/>
          <w:szCs w:val="28"/>
          <w:lang w:eastAsia="zh-CN"/>
        </w:rPr>
        <w:t>木</w:t>
      </w:r>
      <w:r>
        <w:rPr>
          <w:rFonts w:hint="eastAsia" w:ascii="仿宋_GB2312" w:hAnsi="仿宋_GB2312" w:eastAsia="仿宋_GB2312" w:cs="仿宋_GB2312"/>
          <w:sz w:val="28"/>
          <w:szCs w:val="28"/>
        </w:rPr>
        <w:t>位于</w:t>
      </w:r>
      <w:r>
        <w:rPr>
          <w:rFonts w:hint="eastAsia" w:ascii="仿宋_GB2312" w:hAnsi="仿宋_GB2312" w:eastAsia="仿宋_GB2312" w:cs="仿宋_GB2312"/>
          <w:sz w:val="28"/>
          <w:szCs w:val="28"/>
          <w:lang w:eastAsia="zh-CN"/>
        </w:rPr>
        <w:t>横州市</w:t>
      </w:r>
      <w:r>
        <w:rPr>
          <w:rFonts w:hint="eastAsia" w:ascii="仿宋_GB2312" w:hAnsi="仿宋_GB2312" w:eastAsia="仿宋_GB2312" w:cs="仿宋_GB2312"/>
          <w:sz w:val="32"/>
          <w:szCs w:val="32"/>
          <w:lang w:val="en-US" w:eastAsia="zh-CN"/>
        </w:rPr>
        <w:t>石塘林场场部林站7林班、8林班；平洋林站9林班</w:t>
      </w:r>
      <w:r>
        <w:rPr>
          <w:rFonts w:hint="eastAsia" w:ascii="仿宋_GB2312" w:hAnsi="仿宋_GB2312" w:eastAsia="仿宋_GB2312" w:cs="仿宋_GB2312"/>
          <w:sz w:val="28"/>
          <w:szCs w:val="28"/>
        </w:rPr>
        <w:t>。</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shd w:val="pct10" w:color="auto" w:fill="FFFFFF"/>
        </w:rPr>
      </w:pPr>
      <w:r>
        <w:rPr>
          <w:rFonts w:hint="eastAsia" w:ascii="仿宋_GB2312" w:hAnsi="仿宋_GB2312" w:eastAsia="仿宋_GB2312" w:cs="仿宋_GB2312"/>
          <w:sz w:val="28"/>
          <w:szCs w:val="28"/>
        </w:rPr>
        <w:t xml:space="preserve">    树种分别为</w:t>
      </w:r>
      <w:r>
        <w:rPr>
          <w:rFonts w:hint="eastAsia" w:ascii="仿宋_GB2312" w:hAnsi="仿宋_GB2312" w:eastAsia="仿宋_GB2312" w:cs="仿宋_GB2312"/>
          <w:sz w:val="32"/>
          <w:szCs w:val="32"/>
          <w:lang w:val="en-US" w:eastAsia="zh-CN"/>
        </w:rPr>
        <w:t>巨尾桉、窿缘桉、</w:t>
      </w:r>
      <w:r>
        <w:rPr>
          <w:rFonts w:hint="eastAsia" w:ascii="仿宋_GB2312" w:hAnsi="仿宋_GB2312" w:eastAsia="仿宋_GB2312" w:cs="仿宋_GB2312"/>
          <w:sz w:val="32"/>
          <w:szCs w:val="32"/>
        </w:rPr>
        <w:t>软阔</w:t>
      </w:r>
      <w:r>
        <w:rPr>
          <w:rFonts w:hint="eastAsia" w:ascii="仿宋_GB2312" w:hAnsi="仿宋_GB2312" w:eastAsia="仿宋_GB2312" w:cs="仿宋_GB2312"/>
          <w:sz w:val="28"/>
          <w:szCs w:val="28"/>
        </w:rPr>
        <w:t>，伐区总面积约为</w:t>
      </w:r>
      <w:r>
        <w:rPr>
          <w:rFonts w:hint="eastAsia" w:ascii="仿宋_GB2312" w:hAnsi="仿宋_GB2312" w:eastAsia="仿宋_GB2312" w:cs="仿宋_GB2312"/>
          <w:sz w:val="32"/>
          <w:szCs w:val="32"/>
          <w:lang w:val="en-US" w:eastAsia="zh-CN"/>
        </w:rPr>
        <w:t>1242</w:t>
      </w:r>
      <w:r>
        <w:rPr>
          <w:rFonts w:hint="eastAsia" w:ascii="仿宋_GB2312" w:hAnsi="仿宋_GB2312" w:eastAsia="仿宋_GB2312" w:cs="仿宋_GB2312"/>
          <w:sz w:val="28"/>
          <w:szCs w:val="28"/>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rPr>
        <w:t>三、林木采伐经营期限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乙方须在2023年1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日前完成本合同项下林木的采伐</w:t>
      </w:r>
      <w:bookmarkStart w:id="0" w:name="_GoBack"/>
      <w:bookmarkEnd w:id="0"/>
      <w:r>
        <w:rPr>
          <w:rFonts w:hint="eastAsia" w:ascii="仿宋_GB2312" w:hAnsi="仿宋_GB2312" w:eastAsia="仿宋_GB2312" w:cs="仿宋_GB2312"/>
          <w:sz w:val="28"/>
          <w:szCs w:val="28"/>
        </w:rPr>
        <w:t>和已伐的林木外调出伐区的工作。如乙方未能按期完成，则</w:t>
      </w:r>
      <w:r>
        <w:rPr>
          <w:rFonts w:hint="eastAsia" w:ascii="仿宋_GB2312" w:hAnsi="仿宋_GB2312" w:eastAsia="仿宋_GB2312" w:cs="仿宋_GB2312"/>
          <w:kern w:val="0"/>
          <w:sz w:val="28"/>
          <w:szCs w:val="28"/>
        </w:rPr>
        <w:t>视为乙方自愿放弃伐区内未采伐和未运出林木的所有权，</w:t>
      </w:r>
      <w:r>
        <w:rPr>
          <w:rFonts w:hint="eastAsia" w:ascii="仿宋_GB2312" w:hAnsi="仿宋_GB2312" w:eastAsia="仿宋_GB2312" w:cs="仿宋_GB2312"/>
          <w:sz w:val="28"/>
          <w:szCs w:val="28"/>
        </w:rPr>
        <w:t>一切后果由乙方负责，甲方不承担任何责任。</w:t>
      </w:r>
    </w:p>
    <w:p>
      <w:pPr>
        <w:spacing w:line="560" w:lineRule="exact"/>
        <w:ind w:firstLine="557" w:firstLineChars="198"/>
        <w:rPr>
          <w:rFonts w:ascii="仿宋_GB2312" w:hAnsi="仿宋_GB2312" w:eastAsia="仿宋_GB2312" w:cs="仿宋_GB2312"/>
          <w:b/>
          <w:sz w:val="28"/>
          <w:szCs w:val="28"/>
        </w:rPr>
      </w:pPr>
      <w:r>
        <w:rPr>
          <w:rFonts w:hint="eastAsia" w:ascii="仿宋_GB2312" w:hAnsi="仿宋_GB2312" w:eastAsia="仿宋_GB2312" w:cs="仿宋_GB2312"/>
          <w:b/>
          <w:sz w:val="28"/>
          <w:szCs w:val="28"/>
        </w:rPr>
        <w:t>四、合同款项支付时间及方式</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权以竞购中标价格为准，具体价格为人民币：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)（含交易保证金转成交价款部分）。</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（二）合同履约保证金为人民币: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（三）支付方式：转账支付。</w:t>
      </w:r>
    </w:p>
    <w:p>
      <w:pPr>
        <w:spacing w:line="560" w:lineRule="exact"/>
        <w:ind w:left="1" w:firstLine="524" w:firstLineChars="187"/>
        <w:rPr>
          <w:rFonts w:ascii="仿宋_GB2312" w:hAnsi="仿宋_GB2312" w:eastAsia="仿宋_GB2312" w:cs="仿宋_GB2312"/>
          <w:sz w:val="28"/>
          <w:szCs w:val="28"/>
        </w:rPr>
      </w:pPr>
      <w:r>
        <w:rPr>
          <w:rFonts w:hint="eastAsia" w:ascii="仿宋_GB2312" w:hAnsi="仿宋_GB2312" w:eastAsia="仿宋_GB2312" w:cs="仿宋_GB2312"/>
          <w:sz w:val="28"/>
          <w:szCs w:val="28"/>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r>
        <w:rPr>
          <w:rFonts w:hint="eastAsia" w:ascii="仿宋_GB2312" w:hAnsi="仿宋_GB2312" w:eastAsia="仿宋_GB2312" w:cs="仿宋_GB2312"/>
          <w:sz w:val="28"/>
          <w:szCs w:val="28"/>
        </w:rPr>
        <w:t>南宁市罗文林业投资有限责任公司</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r>
        <w:rPr>
          <w:rFonts w:hint="eastAsia" w:ascii="仿宋_GB2312" w:hAnsi="仿宋_GB2312" w:eastAsia="仿宋_GB2312" w:cs="仿宋_GB2312"/>
          <w:sz w:val="28"/>
          <w:szCs w:val="28"/>
        </w:rPr>
        <w:t>45100109000000000233</w:t>
      </w:r>
    </w:p>
    <w:p>
      <w:pP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开户行：</w:t>
      </w:r>
      <w:r>
        <w:rPr>
          <w:rFonts w:hint="eastAsia" w:ascii="仿宋_GB2312" w:hAnsi="仿宋_GB2312" w:eastAsia="仿宋_GB2312" w:cs="仿宋_GB2312"/>
          <w:sz w:val="28"/>
          <w:szCs w:val="28"/>
        </w:rPr>
        <w:t>国家开发银行广西壮族自治区分行</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五、双方的权利、责任和义务</w:t>
      </w:r>
    </w:p>
    <w:p>
      <w:pPr>
        <w:spacing w:line="560" w:lineRule="exact"/>
        <w:ind w:firstLine="540" w:firstLineChars="192"/>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（一）甲方的权利、责任和义务  </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1.按竞拍中标价向乙方收取交易价款。                </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2.向乙方收取合同履约保证金。</w:t>
      </w:r>
    </w:p>
    <w:p>
      <w:pPr>
        <w:spacing w:line="560" w:lineRule="exact"/>
        <w:ind w:firstLine="537"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3.协助和配合乙方办理本合同项下的林木采伐所需的有关必要手续，产生的费用由乙方全额负担。</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4.配合林业主管部门进行伐区的指界工作。</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6.组织采伐后伐区验收工作。</w:t>
      </w:r>
    </w:p>
    <w:p>
      <w:pPr>
        <w:spacing w:line="560" w:lineRule="exact"/>
        <w:ind w:firstLine="419" w:firstLineChars="149"/>
        <w:rPr>
          <w:rFonts w:ascii="仿宋_GB2312" w:hAnsi="仿宋_GB2312" w:eastAsia="仿宋_GB2312" w:cs="仿宋_GB2312"/>
          <w:b/>
          <w:sz w:val="28"/>
          <w:szCs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b/>
          <w:sz w:val="28"/>
          <w:szCs w:val="28"/>
        </w:rPr>
        <w:t>方的权利、责任和义务</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4.配合甲方及林业有关部门做好伐前指界，伐中、伐后检查的验收工作，如发生越界采伐等违规违法行为，乙方须承担相关法律和经济赔偿责任。</w:t>
      </w:r>
    </w:p>
    <w:p>
      <w:pPr>
        <w:spacing w:line="560" w:lineRule="exact"/>
        <w:ind w:firstLine="538" w:firstLineChars="192"/>
        <w:rPr>
          <w:rFonts w:ascii="仿宋_GB2312" w:hAnsi="仿宋_GB2312" w:eastAsia="仿宋_GB2312" w:cs="仿宋_GB2312"/>
          <w:sz w:val="28"/>
          <w:szCs w:val="28"/>
        </w:rPr>
      </w:pPr>
      <w:r>
        <w:rPr>
          <w:rFonts w:hint="eastAsia" w:ascii="仿宋_GB2312" w:hAnsi="仿宋_GB2312" w:eastAsia="仿宋_GB2312" w:cs="仿宋_GB2312"/>
          <w:sz w:val="28"/>
          <w:szCs w:val="28"/>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乙方承诺：2023年1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日前完成林木的采伐、造材、外运出伐区。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7.乙方应承担安全生产管理的责任和义务</w:t>
      </w:r>
    </w:p>
    <w:p>
      <w:pPr>
        <w:spacing w:line="560" w:lineRule="exact"/>
        <w:ind w:firstLine="549"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六、违约情形及责任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（一）在本合同履行过程中，</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1.逾期不足额支付交易价款和合同履约保证金的，甲方有权终止或解除本合同，并收取</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3.不论任何原因，未在2023年1</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20</w:t>
      </w:r>
      <w:r>
        <w:rPr>
          <w:rFonts w:hint="eastAsia" w:ascii="仿宋_GB2312" w:hAnsi="仿宋_GB2312" w:eastAsia="仿宋_GB2312" w:cs="仿宋_GB2312"/>
          <w:kern w:val="0"/>
          <w:sz w:val="28"/>
          <w:szCs w:val="28"/>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方自愿放弃本合同项下滞留在伐区的木材的所有权和销售</w:t>
      </w:r>
      <w:r>
        <w:rPr>
          <w:rFonts w:hint="eastAsia" w:ascii="仿宋_GB2312" w:hAnsi="仿宋_GB2312" w:eastAsia="仿宋_GB2312" w:cs="仿宋_GB2312"/>
          <w:sz w:val="28"/>
          <w:szCs w:val="28"/>
        </w:rPr>
        <w:t>权</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方按期采伐结束通过甲方验收，且</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方，并汇入</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方指定的</w:t>
      </w:r>
      <w:r>
        <w:rPr>
          <w:rFonts w:hint="eastAsia" w:ascii="仿宋_GB2312" w:hAnsi="仿宋_GB2312" w:eastAsia="仿宋_GB2312" w:cs="仿宋_GB2312"/>
          <w:sz w:val="28"/>
          <w:szCs w:val="28"/>
        </w:rPr>
        <w:t>如下</w:t>
      </w:r>
      <w:r>
        <w:rPr>
          <w:rFonts w:hint="eastAsia" w:ascii="仿宋_GB2312" w:hAnsi="仿宋_GB2312" w:eastAsia="仿宋_GB2312" w:cs="仿宋_GB2312"/>
          <w:kern w:val="0"/>
          <w:sz w:val="28"/>
          <w:szCs w:val="28"/>
        </w:rPr>
        <w:t>银行账户（不计利息）。如</w:t>
      </w:r>
      <w:r>
        <w:rPr>
          <w:rFonts w:hint="eastAsia" w:ascii="仿宋_GB2312" w:hAnsi="仿宋_GB2312" w:eastAsia="仿宋_GB2312" w:cs="仿宋_GB2312"/>
          <w:sz w:val="28"/>
          <w:szCs w:val="28"/>
        </w:rPr>
        <w:t>乙方</w:t>
      </w:r>
      <w:r>
        <w:rPr>
          <w:rFonts w:hint="eastAsia" w:ascii="仿宋_GB2312" w:hAnsi="仿宋_GB2312" w:eastAsia="仿宋_GB2312" w:cs="仿宋_GB2312"/>
          <w:kern w:val="0"/>
          <w:sz w:val="28"/>
          <w:szCs w:val="28"/>
        </w:rPr>
        <w:t>存在违约情形，本合同履约保证金不予退还，乙方还应按本合同约定将违约金支付给甲方。</w:t>
      </w:r>
      <w:r>
        <w:rPr>
          <w:rFonts w:hint="eastAsia" w:ascii="仿宋_GB2312" w:hAnsi="仿宋_GB2312" w:eastAsia="仿宋_GB2312" w:cs="仿宋_GB2312"/>
          <w:sz w:val="28"/>
          <w:szCs w:val="28"/>
        </w:rPr>
        <w:t>乙</w:t>
      </w:r>
      <w:r>
        <w:rPr>
          <w:rFonts w:hint="eastAsia" w:ascii="仿宋_GB2312" w:hAnsi="仿宋_GB2312" w:eastAsia="仿宋_GB2312" w:cs="仿宋_GB2312"/>
          <w:kern w:val="0"/>
          <w:sz w:val="28"/>
          <w:szCs w:val="28"/>
        </w:rPr>
        <w:t>方账户资料如下：</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户　名：</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账　号：</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七、风险提示</w:t>
      </w:r>
    </w:p>
    <w:p>
      <w:pPr>
        <w:widowControl/>
        <w:spacing w:line="560" w:lineRule="exact"/>
        <w:ind w:firstLine="562" w:firstLineChars="200"/>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八、其他</w:t>
      </w:r>
    </w:p>
    <w:p>
      <w:pPr>
        <w:widowControl/>
        <w:spacing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（1）甲方确认其有效的送达地址为；</w:t>
      </w:r>
      <w:r>
        <w:rPr>
          <w:rFonts w:hint="eastAsia" w:ascii="仿宋_GB2312" w:hAnsi="仿宋_GB2312" w:eastAsia="仿宋_GB2312" w:cs="仿宋_GB2312"/>
          <w:spacing w:val="4"/>
          <w:sz w:val="28"/>
          <w:szCs w:val="28"/>
          <w:u w:val="single"/>
        </w:rPr>
        <w:t xml:space="preserve">南宁市江南区壮锦大道33号颐和新园5号楼 </w:t>
      </w:r>
      <w:r>
        <w:rPr>
          <w:rFonts w:hint="eastAsia" w:ascii="仿宋_GB2312" w:hAnsi="仿宋_GB2312" w:eastAsia="仿宋_GB2312" w:cs="仿宋_GB2312"/>
          <w:kern w:val="0"/>
          <w:sz w:val="28"/>
          <w:szCs w:val="28"/>
        </w:rPr>
        <w:t xml:space="preserve">  指定联系人：</w:t>
      </w:r>
      <w:r>
        <w:rPr>
          <w:rFonts w:hint="eastAsia" w:ascii="仿宋_GB2312" w:hAnsi="仿宋_GB2312" w:eastAsia="仿宋_GB2312" w:cs="仿宋_GB2312"/>
          <w:kern w:val="0"/>
          <w:sz w:val="28"/>
          <w:szCs w:val="28"/>
          <w:u w:val="single"/>
        </w:rPr>
        <w:t>韦雄斌</w:t>
      </w:r>
      <w:r>
        <w:rPr>
          <w:rFonts w:hint="eastAsia" w:ascii="仿宋_GB2312" w:hAnsi="仿宋_GB2312" w:eastAsia="仿宋_GB2312" w:cs="仿宋_GB2312"/>
          <w:kern w:val="0"/>
          <w:sz w:val="28"/>
          <w:szCs w:val="28"/>
        </w:rPr>
        <w:t xml:space="preserve"> ；联系电话：</w:t>
      </w:r>
      <w:r>
        <w:rPr>
          <w:rFonts w:hint="eastAsia" w:ascii="仿宋_GB2312" w:hAnsi="仿宋_GB2312" w:eastAsia="仿宋_GB2312" w:cs="仿宋_GB2312"/>
          <w:kern w:val="0"/>
          <w:sz w:val="28"/>
          <w:szCs w:val="28"/>
          <w:u w:val="single"/>
        </w:rPr>
        <w:t xml:space="preserve">13481026807 </w:t>
      </w:r>
      <w:r>
        <w:rPr>
          <w:rFonts w:hint="eastAsia" w:ascii="仿宋_GB2312" w:hAnsi="仿宋_GB2312" w:eastAsia="仿宋_GB2312" w:cs="仿宋_GB2312"/>
          <w:kern w:val="0"/>
          <w:sz w:val="28"/>
          <w:szCs w:val="28"/>
        </w:rPr>
        <w:t xml:space="preserve"> ，指定的送达微信为：</w:t>
      </w:r>
      <w:r>
        <w:rPr>
          <w:rFonts w:hint="eastAsia" w:ascii="仿宋_GB2312" w:hAnsi="仿宋_GB2312" w:eastAsia="仿宋_GB2312" w:cs="仿宋_GB2312"/>
          <w:kern w:val="0"/>
          <w:sz w:val="28"/>
          <w:szCs w:val="28"/>
          <w:u w:val="single"/>
        </w:rPr>
        <w:t>13481026807</w:t>
      </w:r>
      <w:r>
        <w:rPr>
          <w:rFonts w:hint="eastAsia" w:ascii="仿宋_GB2312" w:hAnsi="仿宋_GB2312" w:eastAsia="仿宋_GB2312" w:cs="仿宋_GB2312"/>
          <w:kern w:val="0"/>
          <w:sz w:val="28"/>
          <w:szCs w:val="28"/>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（2）乙方确认其有效的送达地址为：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；指定联系人：    ；联系电话：； 指定的送达微信为：    。 </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附件：采伐红线图</w:t>
      </w:r>
    </w:p>
    <w:p>
      <w:pPr>
        <w:widowControl/>
        <w:spacing w:after="240" w:line="560" w:lineRule="exact"/>
        <w:jc w:val="left"/>
        <w:rPr>
          <w:rFonts w:ascii="仿宋_GB2312" w:hAnsi="仿宋_GB2312" w:eastAsia="仿宋_GB2312" w:cs="仿宋_GB2312"/>
          <w:kern w:val="0"/>
          <w:sz w:val="28"/>
          <w:szCs w:val="28"/>
        </w:rPr>
      </w:pP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甲方（盖章）：   </w:t>
      </w:r>
      <w:r>
        <w:rPr>
          <w:rFonts w:hint="eastAsia" w:ascii="仿宋_GB2312" w:hAnsi="仿宋_GB2312" w:eastAsia="仿宋_GB2312" w:cs="仿宋_GB2312"/>
          <w:sz w:val="28"/>
          <w:szCs w:val="28"/>
        </w:rPr>
        <w:t>南宁市罗文林业投资有限责任公司</w:t>
      </w: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法定代表人：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乙方： </w:t>
      </w:r>
      <w:r>
        <w:rPr>
          <w:rFonts w:hint="eastAsia" w:ascii="仿宋_GB2312" w:hAnsi="仿宋_GB2312" w:eastAsia="仿宋_GB2312" w:cs="仿宋_GB2312"/>
          <w:sz w:val="28"/>
          <w:szCs w:val="28"/>
        </w:rPr>
        <w:t xml:space="preserve"> </w:t>
      </w:r>
    </w:p>
    <w:p>
      <w:pPr>
        <w:widowControl/>
        <w:spacing w:after="240"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签约地点：南宁市</w:t>
      </w:r>
      <w:r>
        <w:rPr>
          <w:rFonts w:hint="eastAsia" w:ascii="仿宋_GB2312" w:hAnsi="仿宋_GB2312" w:eastAsia="仿宋_GB2312" w:cs="仿宋_GB2312"/>
          <w:kern w:val="0"/>
          <w:sz w:val="28"/>
          <w:szCs w:val="28"/>
          <w:lang w:eastAsia="zh-CN"/>
        </w:rPr>
        <w:t>江南区</w:t>
      </w:r>
      <w:r>
        <w:rPr>
          <w:rFonts w:hint="eastAsia" w:ascii="仿宋_GB2312" w:hAnsi="仿宋_GB2312" w:eastAsia="仿宋_GB2312" w:cs="仿宋_GB2312"/>
          <w:kern w:val="0"/>
          <w:sz w:val="28"/>
          <w:szCs w:val="28"/>
        </w:rPr>
        <w:t>区签订             签约日期：     年   月   日</w:t>
      </w:r>
    </w:p>
    <w:sectPr>
      <w:headerReference r:id="rId6" w:type="first"/>
      <w:footerReference r:id="rId9" w:type="first"/>
      <w:headerReference r:id="rId4" w:type="default"/>
      <w:footerReference r:id="rId7" w:type="default"/>
      <w:headerReference r:id="rId5" w:type="even"/>
      <w:footerReference r:id="rId8"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4"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5"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Times New Roman" w:hAnsi="Times New Roman" w:eastAsia="宋体" w:cs="Times New Roman"/>
        <w:kern w:val="2"/>
        <w:sz w:val="18"/>
        <w:szCs w:val="18"/>
        <w:lang w:val="en-US" w:eastAsia="zh-CN" w:bidi="ar-SA"/>
      </w:rPr>
      <w:pict>
        <v:rect id="Quad Arrow 307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- 1 -</w:t>
                </w:r>
                <w:r>
                  <w:fldChar w:fldCharType="end"/>
                </w:r>
              </w:p>
            </w:txbxContent>
          </v:textbox>
        </v:rect>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c2NDg2MTQ3YTY0NmY5ODRiZGJkZjRiMTkwNjQxMmE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nhideWhenUsed="0" w:uiPriority="99" w:name="annotation text" w:locked="1"/>
    <w:lsdException w:qFormat="1"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nhideWhenUsed="0" w:uiPriority="99" w:name="annotation subject" w:locked="1"/>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paragraph" w:styleId="2">
    <w:name w:val="annotation subject"/>
    <w:basedOn w:val="3"/>
    <w:next w:val="3"/>
    <w:link w:val="15"/>
    <w:semiHidden/>
    <w:locked/>
    <w:uiPriority w:val="99"/>
    <w:rPr>
      <w:b/>
      <w:bCs/>
    </w:rPr>
  </w:style>
  <w:style w:type="paragraph" w:styleId="3">
    <w:name w:val="annotation text"/>
    <w:basedOn w:val="1"/>
    <w:link w:val="14"/>
    <w:semiHidden/>
    <w:locked/>
    <w:uiPriority w:val="99"/>
    <w:pPr>
      <w:jc w:val="left"/>
    </w:pPr>
  </w:style>
  <w:style w:type="paragraph" w:styleId="4">
    <w:name w:val="Plain Text"/>
    <w:basedOn w:val="1"/>
    <w:link w:val="16"/>
    <w:locked/>
    <w:uiPriority w:val="99"/>
    <w:rPr>
      <w:rFonts w:ascii="宋体" w:hAnsi="Courier New"/>
      <w:kern w:val="0"/>
      <w:szCs w:val="21"/>
    </w:rPr>
  </w:style>
  <w:style w:type="paragraph" w:styleId="5">
    <w:name w:val="Balloon Text"/>
    <w:basedOn w:val="1"/>
    <w:link w:val="17"/>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styleId="10">
    <w:name w:val="annotation reference"/>
    <w:semiHidden/>
    <w:qFormat/>
    <w:locked/>
    <w:uiPriority w:val="99"/>
    <w:rPr>
      <w:rFonts w:cs="Times New Roman"/>
      <w:sz w:val="21"/>
    </w:rPr>
  </w:style>
  <w:style w:type="paragraph" w:customStyle="1" w:styleId="11">
    <w:name w:val="Char"/>
    <w:basedOn w:val="1"/>
    <w:qFormat/>
    <w:uiPriority w:val="99"/>
    <w:pPr>
      <w:widowControl/>
      <w:snapToGrid w:val="0"/>
      <w:spacing w:beforeLines="25" w:afterLines="25" w:line="240" w:lineRule="exact"/>
      <w:ind w:firstLine="538" w:firstLineChars="192"/>
    </w:pPr>
  </w:style>
  <w:style w:type="paragraph" w:customStyle="1" w:styleId="12">
    <w:name w:val="Revision1"/>
    <w:hidden/>
    <w:semiHidden/>
    <w:qFormat/>
    <w:uiPriority w:val="99"/>
    <w:rPr>
      <w:szCs w:val="24"/>
    </w:rPr>
  </w:style>
  <w:style w:type="paragraph" w:customStyle="1" w:styleId="13">
    <w:name w:val="Revision"/>
    <w:hidden/>
    <w:semiHidden/>
    <w:uiPriority w:val="99"/>
    <w:rPr>
      <w:kern w:val="2"/>
      <w:sz w:val="21"/>
      <w:szCs w:val="24"/>
    </w:rPr>
  </w:style>
  <w:style w:type="character" w:customStyle="1" w:styleId="14">
    <w:name w:val="批注文字 字符"/>
    <w:link w:val="3"/>
    <w:semiHidden/>
    <w:qFormat/>
    <w:locked/>
    <w:uiPriority w:val="99"/>
    <w:rPr>
      <w:kern w:val="2"/>
      <w:sz w:val="24"/>
    </w:rPr>
  </w:style>
  <w:style w:type="character" w:customStyle="1" w:styleId="15">
    <w:name w:val="批注主题 字符"/>
    <w:link w:val="2"/>
    <w:semiHidden/>
    <w:locked/>
    <w:uiPriority w:val="99"/>
    <w:rPr>
      <w:b/>
      <w:kern w:val="2"/>
      <w:sz w:val="24"/>
    </w:rPr>
  </w:style>
  <w:style w:type="character" w:customStyle="1" w:styleId="16">
    <w:name w:val="纯文本 字符"/>
    <w:link w:val="4"/>
    <w:semiHidden/>
    <w:qFormat/>
    <w:locked/>
    <w:uiPriority w:val="99"/>
    <w:rPr>
      <w:rFonts w:ascii="宋体" w:hAnsi="Courier New"/>
      <w:sz w:val="21"/>
    </w:rPr>
  </w:style>
  <w:style w:type="character" w:customStyle="1" w:styleId="17">
    <w:name w:val="批注框文本 字符"/>
    <w:link w:val="5"/>
    <w:qFormat/>
    <w:locked/>
    <w:uiPriority w:val="99"/>
    <w:rPr>
      <w:kern w:val="2"/>
      <w:sz w:val="18"/>
    </w:rPr>
  </w:style>
  <w:style w:type="character" w:customStyle="1" w:styleId="18">
    <w:name w:val="页脚 字符"/>
    <w:link w:val="6"/>
    <w:qFormat/>
    <w:locked/>
    <w:uiPriority w:val="99"/>
    <w:rPr>
      <w:kern w:val="2"/>
      <w:sz w:val="18"/>
    </w:rPr>
  </w:style>
  <w:style w:type="character" w:customStyle="1" w:styleId="19">
    <w:name w:val="Header Char"/>
    <w:qFormat/>
    <w:locked/>
    <w:uiPriority w:val="99"/>
    <w:rPr>
      <w:kern w:val="2"/>
      <w:sz w:val="18"/>
    </w:rPr>
  </w:style>
  <w:style w:type="character" w:customStyle="1" w:styleId="20">
    <w:name w:val="页眉 字符"/>
    <w:link w:val="7"/>
    <w:semiHidden/>
    <w:qFormat/>
    <w:locked/>
    <w:uiPriority w:val="99"/>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720</Words>
  <Characters>4110</Characters>
  <Lines>34</Lines>
  <Paragraphs>9</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韦雄斌</cp:lastModifiedBy>
  <cp:lastPrinted>2023-03-30T02:27:00Z</cp:lastPrinted>
  <dcterms:modified xsi:type="dcterms:W3CDTF">2023-09-20T13:31:53Z</dcterms:modified>
  <dc:title>合同编号：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6CA6DC2CF1E34542B51C4F1EA315553B</vt:lpwstr>
  </property>
</Properties>
</file>