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52"/>
        </w:rPr>
      </w:pPr>
      <w:bookmarkStart w:id="0" w:name="_GoBack"/>
      <w:r>
        <w:rPr>
          <w:b/>
          <w:bCs/>
          <w:sz w:val="44"/>
          <w:szCs w:val="52"/>
        </w:rPr>
        <w:t>20231017期（周二）武鸣区双桥粮库3号仓700吨储备粮采购交易公告</w:t>
      </w:r>
    </w:p>
    <w:bookmarkEnd w:id="0"/>
    <w:p>
      <w:pPr>
        <w:jc w:val="center"/>
        <w:rPr>
          <w:b/>
          <w:bCs/>
          <w:sz w:val="44"/>
          <w:szCs w:val="52"/>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南宁市农村产权流转交易中心（以下简称“南宁中心”）受南宁市金谷隆粮油购销有限责任公司（以下简称委托方）委托，定于2023年10月17日下午16:30在南宁中心举办武鸣区双桥粮库3号仓储备粮采购竞价交易，现就相关事项公告如下：</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一、竞价交易时间和地点：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时间：2023年10月17日（星期二）16：30。</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地点：南宁市农村产权流转交易中心网上竞拍大厅。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二、竞价交易的品名、年份、数量：</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（一）数量要求：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2" w:hRule="atLeast"/>
        </w:trPr>
        <w:tc>
          <w:tcPr>
            <w:tcW w:w="1420" w:type="dxa"/>
            <w:vAlign w:val="center"/>
          </w:tcPr>
          <w:p>
            <w:pPr>
              <w:jc w:val="center"/>
              <w:rPr>
                <w:b/>
                <w:bCs/>
                <w:sz w:val="24"/>
                <w:szCs w:val="32"/>
                <w:vertAlign w:val="baseline"/>
              </w:rPr>
            </w:pPr>
            <w:r>
              <w:rPr>
                <w:b/>
                <w:bCs/>
                <w:sz w:val="24"/>
                <w:szCs w:val="32"/>
                <w:vertAlign w:val="baseline"/>
              </w:rPr>
              <w:t>品名</w:t>
            </w:r>
          </w:p>
        </w:tc>
        <w:tc>
          <w:tcPr>
            <w:tcW w:w="1420" w:type="dxa"/>
            <w:vAlign w:val="center"/>
          </w:tcPr>
          <w:p>
            <w:pPr>
              <w:jc w:val="center"/>
              <w:rPr>
                <w:b/>
                <w:bCs/>
                <w:sz w:val="24"/>
                <w:szCs w:val="32"/>
                <w:vertAlign w:val="baseline"/>
              </w:rPr>
            </w:pPr>
            <w:r>
              <w:rPr>
                <w:b/>
                <w:bCs/>
                <w:sz w:val="24"/>
                <w:szCs w:val="32"/>
                <w:vertAlign w:val="baseline"/>
              </w:rPr>
              <w:t>年份</w:t>
            </w:r>
          </w:p>
        </w:tc>
        <w:tc>
          <w:tcPr>
            <w:tcW w:w="1420" w:type="dxa"/>
            <w:vAlign w:val="center"/>
          </w:tcPr>
          <w:p>
            <w:pPr>
              <w:jc w:val="center"/>
              <w:rPr>
                <w:b/>
                <w:bCs/>
                <w:sz w:val="24"/>
                <w:szCs w:val="32"/>
                <w:vertAlign w:val="baseline"/>
              </w:rPr>
            </w:pPr>
            <w:r>
              <w:rPr>
                <w:b/>
                <w:bCs/>
                <w:sz w:val="24"/>
                <w:szCs w:val="32"/>
                <w:vertAlign w:val="baseline"/>
              </w:rPr>
              <w:t>数量（吨）</w:t>
            </w:r>
          </w:p>
        </w:tc>
        <w:tc>
          <w:tcPr>
            <w:tcW w:w="1420" w:type="dxa"/>
            <w:vAlign w:val="center"/>
          </w:tcPr>
          <w:p>
            <w:pPr>
              <w:jc w:val="center"/>
              <w:rPr>
                <w:b/>
                <w:bCs/>
                <w:sz w:val="24"/>
                <w:szCs w:val="32"/>
                <w:vertAlign w:val="baseline"/>
              </w:rPr>
            </w:pPr>
            <w:r>
              <w:rPr>
                <w:b/>
                <w:bCs/>
                <w:sz w:val="24"/>
                <w:szCs w:val="32"/>
                <w:vertAlign w:val="baseline"/>
              </w:rPr>
              <w:t>规格</w:t>
            </w:r>
          </w:p>
        </w:tc>
        <w:tc>
          <w:tcPr>
            <w:tcW w:w="1421" w:type="dxa"/>
            <w:vAlign w:val="center"/>
          </w:tcPr>
          <w:p>
            <w:pPr>
              <w:jc w:val="center"/>
              <w:rPr>
                <w:b/>
                <w:bCs/>
                <w:sz w:val="24"/>
                <w:szCs w:val="32"/>
                <w:vertAlign w:val="baseline"/>
              </w:rPr>
            </w:pPr>
            <w:r>
              <w:rPr>
                <w:b/>
                <w:bCs/>
                <w:sz w:val="24"/>
                <w:szCs w:val="32"/>
                <w:vertAlign w:val="baseline"/>
              </w:rPr>
              <w:t>收购等级</w:t>
            </w:r>
          </w:p>
        </w:tc>
        <w:tc>
          <w:tcPr>
            <w:tcW w:w="1421" w:type="dxa"/>
            <w:vAlign w:val="center"/>
          </w:tcPr>
          <w:p>
            <w:pPr>
              <w:jc w:val="center"/>
              <w:rPr>
                <w:b/>
                <w:bCs/>
                <w:sz w:val="24"/>
                <w:szCs w:val="32"/>
                <w:vertAlign w:val="baseline"/>
              </w:rPr>
            </w:pPr>
            <w:r>
              <w:rPr>
                <w:b/>
                <w:bCs/>
                <w:sz w:val="24"/>
                <w:szCs w:val="32"/>
                <w:vertAlign w:val="baseli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09" w:hRule="atLeast"/>
        </w:trPr>
        <w:tc>
          <w:tcPr>
            <w:tcW w:w="1420" w:type="dxa"/>
            <w:vAlign w:val="center"/>
          </w:tcPr>
          <w:p>
            <w:pPr>
              <w:jc w:val="center"/>
              <w:rPr>
                <w:vertAlign w:val="baseline"/>
              </w:rPr>
            </w:pPr>
            <w:r>
              <w:rPr>
                <w:vertAlign w:val="baseline"/>
              </w:rPr>
              <w:t>普通早籼稻</w:t>
            </w:r>
          </w:p>
        </w:tc>
        <w:tc>
          <w:tcPr>
            <w:tcW w:w="1420" w:type="dxa"/>
            <w:vAlign w:val="center"/>
          </w:tcPr>
          <w:p>
            <w:pPr>
              <w:jc w:val="center"/>
              <w:rPr>
                <w:rFonts w:hint="default" w:eastAsiaTheme="minorEastAsia"/>
                <w:vertAlign w:val="baseline"/>
                <w:lang w:val="en-US" w:eastAsia="zh-CN"/>
              </w:rPr>
            </w:pPr>
            <w:r>
              <w:rPr>
                <w:rFonts w:hint="eastAsia"/>
                <w:vertAlign w:val="baseline"/>
                <w:lang w:val="en-US" w:eastAsia="zh-CN"/>
              </w:rPr>
              <w:t>2023</w:t>
            </w:r>
          </w:p>
        </w:tc>
        <w:tc>
          <w:tcPr>
            <w:tcW w:w="1420" w:type="dxa"/>
            <w:vAlign w:val="center"/>
          </w:tcPr>
          <w:p>
            <w:pPr>
              <w:jc w:val="center"/>
              <w:rPr>
                <w:rFonts w:hint="default" w:eastAsiaTheme="minorEastAsia"/>
                <w:vertAlign w:val="baseline"/>
                <w:lang w:val="en-US" w:eastAsia="zh-CN"/>
              </w:rPr>
            </w:pPr>
            <w:r>
              <w:rPr>
                <w:rFonts w:hint="eastAsia"/>
                <w:vertAlign w:val="baseline"/>
                <w:lang w:val="en-US" w:eastAsia="zh-CN"/>
              </w:rPr>
              <w:t>700</w:t>
            </w:r>
          </w:p>
        </w:tc>
        <w:tc>
          <w:tcPr>
            <w:tcW w:w="1420" w:type="dxa"/>
            <w:vAlign w:val="center"/>
          </w:tcPr>
          <w:p>
            <w:pPr>
              <w:jc w:val="center"/>
              <w:rPr>
                <w:rFonts w:hint="default" w:eastAsiaTheme="minorEastAsia"/>
                <w:vertAlign w:val="baseline"/>
                <w:lang w:val="en-US" w:eastAsia="zh-CN"/>
              </w:rPr>
            </w:pPr>
            <w:r>
              <w:rPr>
                <w:rFonts w:hint="eastAsia"/>
                <w:vertAlign w:val="baseline"/>
                <w:lang w:val="en-US" w:eastAsia="zh-CN"/>
              </w:rPr>
              <w:t>散装</w:t>
            </w:r>
          </w:p>
        </w:tc>
        <w:tc>
          <w:tcPr>
            <w:tcW w:w="1421" w:type="dxa"/>
            <w:vAlign w:val="center"/>
          </w:tcPr>
          <w:p>
            <w:pPr>
              <w:jc w:val="center"/>
              <w:rPr>
                <w:rFonts w:hint="eastAsia" w:eastAsiaTheme="minorEastAsia"/>
                <w:vertAlign w:val="baseline"/>
                <w:lang w:val="en-US" w:eastAsia="zh-CN"/>
              </w:rPr>
            </w:pPr>
            <w:r>
              <w:rPr>
                <w:rFonts w:hint="eastAsia"/>
                <w:vertAlign w:val="baseline"/>
                <w:lang w:val="en-US" w:eastAsia="zh-CN"/>
              </w:rPr>
              <w:t>三等以上</w:t>
            </w:r>
          </w:p>
        </w:tc>
        <w:tc>
          <w:tcPr>
            <w:tcW w:w="1421" w:type="dxa"/>
            <w:vAlign w:val="center"/>
          </w:tcPr>
          <w:p>
            <w:pPr>
              <w:jc w:val="center"/>
              <w:rPr>
                <w:rFonts w:hint="eastAsia" w:eastAsiaTheme="minorEastAsia"/>
                <w:vertAlign w:val="baseline"/>
                <w:lang w:val="en-US" w:eastAsia="zh-CN"/>
              </w:rPr>
            </w:pPr>
            <w:r>
              <w:rPr>
                <w:rFonts w:hint="eastAsia"/>
                <w:vertAlign w:val="baseline"/>
                <w:lang w:val="en-US" w:eastAsia="zh-CN"/>
              </w:rPr>
              <w:t>国内（需同一产地）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vAlign w:val="top"/>
          </w:tcPr>
          <w:p>
            <w:pPr>
              <w:jc w:val="center"/>
              <w:rPr>
                <w:rFonts w:hint="eastAsia" w:eastAsiaTheme="minorEastAsia"/>
                <w:vertAlign w:val="baseline"/>
                <w:lang w:val="en-US" w:eastAsia="zh-CN"/>
              </w:rPr>
            </w:pPr>
            <w:r>
              <w:rPr>
                <w:rFonts w:hint="eastAsia"/>
                <w:b/>
                <w:bCs/>
                <w:sz w:val="24"/>
                <w:szCs w:val="32"/>
                <w:vertAlign w:val="baseline"/>
                <w:lang w:val="en-US" w:eastAsia="zh-CN"/>
              </w:rPr>
              <w:t>合计</w:t>
            </w:r>
          </w:p>
        </w:tc>
        <w:tc>
          <w:tcPr>
            <w:tcW w:w="7102" w:type="dxa"/>
            <w:gridSpan w:val="5"/>
          </w:tcPr>
          <w:p>
            <w:pPr>
              <w:jc w:val="center"/>
              <w:rPr>
                <w:rFonts w:hint="default" w:eastAsiaTheme="minorEastAsia"/>
                <w:vertAlign w:val="baseline"/>
                <w:lang w:val="en-US" w:eastAsia="zh-CN"/>
              </w:rPr>
            </w:pPr>
            <w:r>
              <w:rPr>
                <w:rFonts w:hint="eastAsia"/>
                <w:vertAlign w:val="baseline"/>
                <w:lang w:val="en-US" w:eastAsia="zh-CN"/>
              </w:rPr>
              <w:t>700</w:t>
            </w:r>
          </w:p>
        </w:tc>
      </w:tr>
    </w:tbl>
    <w:p>
      <w:pPr>
        <w:keepNext w:val="0"/>
        <w:keepLines w:val="0"/>
        <w:pageBreakBefore w:val="0"/>
        <w:widowControl w:val="0"/>
        <w:kinsoku/>
        <w:wordWrap/>
        <w:overflowPunct/>
        <w:topLinePunct w:val="0"/>
        <w:autoSpaceDE/>
        <w:autoSpaceDN/>
        <w:bidi w:val="0"/>
        <w:adjustRightInd/>
        <w:snapToGrid/>
        <w:spacing w:line="480" w:lineRule="auto"/>
        <w:textAlignment w:val="auto"/>
        <w:rPr/>
      </w:pPr>
      <w:r>
        <w:rPr>
          <w:rFonts w:hint="default"/>
        </w:rPr>
        <w:t>（二）质量要求：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出糙率≥ 75.0 %；整精米率≥ 44.0 %；杂质≤ 1 %；水分≤13.5 %；黄粒米≤ 0.7 %；谷外糙米≤ 1.8%；脂肪酸值≤20 （KOH/干基）mg/100g；品尝评分值≥75；互混率≤ 5.0 %；色泽、气味正常；无芽谷，无霉变；无陈粮混杂；无虫粮；严禁掺杂使假、以陈顶新。卫生指标符合国家标准。【其中镉（以cd计）/㎎/㎏≤0.18；无机砷（以As计）/㎎/㎏≤0.17；铅（以Pb计）/㎎/㎏≤0.15；总汞（以Hg计）/㎎/㎏≦0.015；黄曲霉毒素B1/μg/㎏≤7;敌敌畏/㎎/㎏≤0.08；马拉硫磷㎎/㎏≤6；氯氰菊酯㎎/㎏≤1.5，辛硫磷㎎/㎏≤0.04；毒死蜱㎎/㎏≤0.4，甲拌磷㎎/㎏≤0.04；三唑磷㎎/㎏≤0.04。】（竞得方须提供具有对外检验资质的检验机构出具的卫生指标检验报告）。</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（三）重要申明：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1.委托方采购的稻谷，若水分＞13.5%；脂肪酸值＞20.0 （KOH/干基）mg/ 100g；存在芽谷、霉变；有陈粮混杂；有严重虫粮；卫生指标等不符合国家标准的粮食作无条件退货处理。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2.粮食须过风除杂合格后方可入库。</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3.竞得方需在委托方申请入库后5天内首批货物送到，逾期供货或未按期完成供货量的，委托方有权终止履行合同，竞得方承担相应违约责任。</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4.运输要求：委托方要求散装运输。如竞得方需要编织袋包装运输的，编织袋由竞得方提供，不计价，不返还，编织袋重量按每条0.15公斤扣除，由于包装增加的装卸费用由竞得方承担。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5.其他费用：装车费、运输费、筛下物打包费（含包装袋）等费用由竞得方承担。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6.根据广西壮族自治区粮油质量检验中心检测的满仓鉴定结果，若卫生指标不符合国家标准，或有陈粮互混的，将扣除整仓20%的货款暂不支付，专项用于弥补处理不符合质量的货物的损失，余额部分再支付竞得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7.粮食入库检验由委托方实行一车一检，检验项目为粮食质量指标及重金属镉指标，检验结果不达标的不能入库，由竞得方自行处理。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8.入库完成（平仓）后由委托方、粮权方和贷款银行“三方”按国家标准共同抽样送广西壮族自治区粮油质量检验中心检验，如检验结果不合格，任一方可申请用备样复检一次，复检结果达标的视为合格，作为政府储备粮验收依据，经上述两次检验仍不达标的不能转为政府储备粮。</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9.检验不合格的粮食，竞得方须在接到委托方通知3个工作日内与委托方对接，并在20个自然日内将整仓稻谷运离仓库，否则，视为竞得方自愿放弃整仓已入仓稻谷的所有权，整仓稻谷委托方有权处理。竞得方须按双方签订的协议提供新的粮食给委托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10.竞拍方须有符合委托方交货质量指标散装现货并能提供交货质量指标检测报告。</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三、交货时间、地点、方式及结算方式的规定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（一）交货时间：</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1.交割时间：成交之日起至2023年10月29日止入库完毕并完成验收确认。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2.委托方每日安排接货最大数量为200吨，竞得方送货前必须事先与委托方协商确定送货时间（自委托方提出入库申请要求之日起计算，3个工作日内委托方必须根据实际情况安排接货）。委托方在正常工作时间内应及时向竞得方提供装卸服务。</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（二）工作时间：委托方每天工作时间为：8:00-18:00；交割期限内包括节假日。在此时间内，委托方不得拒接或拖延办理交割手续。</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三）交货地点：南宁市武鸣区粮油购销有限总公司双桥分公司3号仓内，到库前的一切费用由竞得方负责。注意事项：竞得方应提前与委托方沟通好车辆及集装箱车的限制，因超限引发的各项费用由竞得方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（四）交货方式：以散粮方式仓内交付。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五）货款结算方式：成交履约标的物的货款由委托方和竞得方自行结算，南宁中心不负责、不参与货款支付、催收、结算等事项，若因货款支付、催收、结算等问题引起的纠纷，由委托方与竞得方自行解决。在粮食初检合格入库后，以委托方单位电子磅为计量依据，3个工作日内支付已入库粮食的80%货款，剩下的20%在入库完成并验收、竞得方提供发票后5个工作日内结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四、报名方式、报名条件、交易方式、截止时间</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1．委托方及参加交易的竞拍方须在2023年10月17日下午16:00前按要求办理南宁中心意向方注册、缴纳报名费等。</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2.竞拍方报名条件：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（1）提供工商注册营业执照复印件（加盖公章）；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（2）需能提供发票；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（3）报名前提前送稻谷样品，经购买方审核合格后方能竞拍；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（4）具备供应700吨稻谷的供货能力，且货物均为同一品种，同一产地，同一年份，不可拆标。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3.交易方式：网上公开竞价；交易底价于2023年10月16日另行公告。</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4.报名截止时间：2023年10月17日下午16:00前。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5.网上提交报名材料：营业执照、法定代表人身份证、报名保证金缴纳凭证，委托代理人参加竞价的，除以上材料外，还需提交授权委托书、代理人身份证。</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五、保证金、货款、手续费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1．参加交易的竞拍方须预交保证金30元/吨（含交易保证金20元/吨和履约保证金10元/吨），必须在2023年10月17日下午16:00前将保证金汇入南宁中心指定银行账户。（转账请备注为：20231017期双桥3号仓储备粮竞价保证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保证金汇款账户：</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开户名称：南宁市农村产权运营管理有限公司</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开 户 行：中信银行南宁凤岭支行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账号：8113 0010 1340 0195 614</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南宁中心凭委托方盖章签署的《履约完毕通知书》清退竞得方扣除手续费后的保证金。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2．标的物成交后，由委托方或其指定的结算单位与竞得方签订《粮食竞价交易购销合同》且由其与竞得方进行货款结算。南宁中心向竞得方收取成交总额的0.5‰的交易手续费，未成交的不收取手续费。合同终止，手续费均不退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3．未实现交易的竞拍方可在2023年10月17日后的工作日内09:00—16:00向南宁中心提出退款申请，南宁中心将在5个工作日内经审核后退还其所缴纳的交易保证金和履约保证金。未主动申请退款的视为保留交易保证金和履约保证金在南宁中心，可用于参加下期交易或支付货款，不作退款处理。南宁中心对其暂存南宁中心账户的资金按指令代收、代付、代管。竞买方申请退款的，南宁中心无息退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4.就本次交易，委托方没有向南宁中心预交保证金。若由于委托方存在违约行为造成竞得方损失的，由竞得方自行按照相关法律法规的规定及《粮食购销合同》的约定向委托方追索违约金及其他损失，南宁中心不负责、不参与违约金扣划、支付有关的任何事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六、其他重要事项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1．委托方及参加交易的竞拍方在交易前务必登录网站（https://nanning.nongjiao.com）下载或到南宁中心索取《南宁市农村产权流转南宁中心粮食竞价交易规则（试行）》并了解相关内容。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2．委托方及参加交易的竞拍方可通过登录网站（https://nanning.nongjiao.com）查询本次交易须知及相关资料或直接到南宁中心领取。</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七、联系方式</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0771-2285888  黄女士</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地址：南宁市青秀区长虹路88号B9A-2第六层南宁市农村产权流转交易中心。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b/>
          <w:bCs/>
          <w:sz w:val="40"/>
          <w:szCs w:val="48"/>
        </w:rPr>
      </w:pPr>
      <w:r>
        <w:rPr>
          <w:rFonts w:hint="default"/>
          <w:b/>
          <w:bCs/>
          <w:sz w:val="40"/>
          <w:szCs w:val="48"/>
        </w:rPr>
        <w:t>交易须知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一、报名注册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（一）意向参加交易方须按对应的交易公告（以下简称“当期《交易公告》”）有关要求向南宁中心预交保证金。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  首次参与南宁市农村产权流转交易中心（以下简称“南宁中心”）举行的南宁市储备粮电子竞价销售的购买方，须在2023年10月17日16:00前在南宁中心网站（https://nanning.nongjiao.com）注册账号并报名同时按要求缴纳保证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二）意向方参与交易前，应认真阅读交易清单及相关交易规则、须知及公告，一旦参与竞买报价，则视同认可并接受当期《交易公告》当中所有采购要求。交易结果以南宁中心交易记录为准。成交后，竞得方必须无条件接受交易期间通过竞价交易所产生的结果，不得以不了解或不完全了解有关事项为由不确认该项交易。</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二、交易流程</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（一）竞价交易须采取按公告规定的方式、时间内线上提交报名材料，缴纳交易保证金，竞价开始后，买方自行利用交易终端（电脑、手机等）参与交易。</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报价时间为300秒，最后60秒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报价期满在标的起价价位上无人应价时，则该笔标的视为流拍。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（二）竞价交易采取网上竞价方式，从标的起价价位开始报价，按每吨10元或10元的整数倍递减报价。</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三、验收办法</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（一）程序：来粮经买方抽样进行初验，符合质量标准的粮食过磅称重接收入库。</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二）检斤：地磅检斤；使用的地磅须经过广西壮族自治区计量检测研究院检定，竞得方对磅秤标准有质疑时，可通过向广西壮族自治区计量检测研究院提出验秤要求，买方应予配合不得拒绝，费用由责任方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（三）检质：如有异议，送具有CMA认证资质的粮油质量检测机构检测，费用由责任方承担。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（四）验收地点：买方仓前验收。具体以当期《交易公告》为准。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三、结算数量</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以买卖双方已签章的《验收确认单》或卖方盖章的《履约完毕通知书》实际入库数量为标准结算数，按照成交价格结算。</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四、质量纠纷处理相关约定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（一）本次竞价接收的粮食质量将严格按当期《交易公告》的质量要求执行，若其中有一项标准达不到要求的，则判定为不合格，并作换货处理，一切损失由竞得方承担。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（二）发生质量纠纷时，买方应在到货后３个工作日内以书面或传真的形式及时向竞得方和南宁中心提出，逾期作为验收通过处理。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（三）因质量纠纷发生的一切费用由责任方承担。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（四）负责质量检验的质检机构必须有法定检验检测资质。双方对质检机构的认定不能达成一致时，由南宁中心指定具有法定资质的质量检验检测机构进行检测。</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五、保证金赔付相关约定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（二）竞得方违反当期《交易公告》重要申明中退货约定的，按照《南宁市农村产权流转交易中心粮食竞价交易规则（试行）》及当期《交易公告》有关规定处理。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（三）竞得方不能按约按期交货的，视为违约（由不可抗力的情况所导致的交货延期除外）。按照《南宁市农村产权流转交易中心粮食竞价交易规则（试行）》及当期《交易公告》有关规定处理。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四）若因买方存在违约行为造成竞得方损失的，买方须按照《南宁市农村产权流转交易中心粮食竞价交易规则（试行）》《粮食竞价交易购销合同》及相关法律法规的规定向竞得方支付违约金及赔偿相应的损失。违约金按竞拍方预交的保证金同等金额及比例计算（如：30元/吨（含交易保证金20元/吨和履约保证金10元/吨），则买方违约时按同等金额及比例支付违约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六、其他未尽事项说明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rPr>
      </w:pPr>
      <w:r>
        <w:rPr>
          <w:rFonts w:hint="default"/>
        </w:rPr>
        <w:t>未尽事宜，按《中华人民共和国民法典》《南宁市农村产权流转交易中心粮食竞价交易规则（试行）》及当期《交易公告》有关规定处理。</w:t>
      </w:r>
    </w:p>
    <w:p>
      <w:pPr>
        <w:keepNext w:val="0"/>
        <w:keepLines w:val="0"/>
        <w:pageBreakBefore w:val="0"/>
        <w:widowControl w:val="0"/>
        <w:kinsoku/>
        <w:wordWrap/>
        <w:overflowPunct/>
        <w:topLinePunct w:val="0"/>
        <w:autoSpaceDE/>
        <w:autoSpaceDN/>
        <w:bidi w:val="0"/>
        <w:adjustRightInd/>
        <w:snapToGrid/>
        <w:spacing w:line="48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GE3NjI3NjEwNDA4YWE0ZTNjMDBjYTZiMWIzYjUifQ=="/>
  </w:docVars>
  <w:rsids>
    <w:rsidRoot w:val="2B1D6D42"/>
    <w:rsid w:val="2B1D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2023-10-16T03:12:00Z</dcterms:created>
  <dc:creator>WPS_1641864592</dc:creator>
  <cp:lastModifiedBy>WPS_1641864592</cp:lastModifiedBy>
  <dcterms:modified xsi:type="dcterms:W3CDTF">2023-10-16T03:22:21Z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A24F780F3F6545DEA51B339BA7E6F5DD_11</vt:lpwstr>
  </property>
</Properties>
</file>