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20231020期（周五）青秀区国泰粮库1号仓1000吨储备粮采购交易公告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南宁市农村产权流转交易中心（以下简称“南宁中心”）受南宁市金谷隆粮油购销有限责任公司（以下简称委托方）委托，定于</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20</w:t>
      </w:r>
      <w:r>
        <w:rPr>
          <w:rStyle w:val="5"/>
          <w:rFonts w:hint="eastAsia" w:ascii="仿宋_GB2312" w:hAnsi="仿宋_GB2312" w:eastAsia="仿宋_GB2312" w:cs="仿宋_GB2312"/>
          <w:sz w:val="28"/>
          <w:szCs w:val="28"/>
          <w:lang w:eastAsia="zh-CN"/>
        </w:rPr>
        <w:t>日上午</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0:00</w:t>
      </w:r>
      <w:r>
        <w:rPr>
          <w:rFonts w:hint="eastAsia" w:ascii="仿宋_GB2312" w:hAnsi="仿宋_GB2312" w:eastAsia="仿宋_GB2312" w:cs="仿宋_GB2312"/>
          <w:sz w:val="28"/>
          <w:szCs w:val="28"/>
        </w:rPr>
        <w:t>在南宁中心举办青秀区国泰粮库1号仓储备粮采购竞价交易，现就相关事项公告如下：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一、竞价交易时间和地点：</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20</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rPr>
        <w:t>（星期</w:t>
      </w:r>
      <w:r>
        <w:rPr>
          <w:rStyle w:val="5"/>
          <w:rFonts w:hint="eastAsia" w:ascii="仿宋_GB2312" w:hAnsi="仿宋_GB2312" w:eastAsia="仿宋_GB2312" w:cs="仿宋_GB2312"/>
          <w:sz w:val="28"/>
          <w:szCs w:val="28"/>
          <w:lang w:val="en-US" w:eastAsia="zh-CN"/>
        </w:rPr>
        <w:t>五</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0</w:t>
      </w:r>
      <w:r>
        <w:rPr>
          <w:rFonts w:hint="eastAsia" w:ascii="仿宋_GB2312" w:hAnsi="仿宋_GB2312" w:eastAsia="仿宋_GB2312" w:cs="仿宋_GB2312"/>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地点：南宁市农村产权流转交易中心网上竞拍大厅。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二、竞价交易的品名、年份、数量：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（一）数量要求：</w:t>
      </w:r>
    </w:p>
    <w:tbl>
      <w:tblPr>
        <w:tblStyle w:val="3"/>
        <w:tblW w:w="4997" w:type="pct"/>
        <w:jc w:val="center"/>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75"/>
        <w:gridCol w:w="1375"/>
        <w:gridCol w:w="1385"/>
        <w:gridCol w:w="1385"/>
        <w:gridCol w:w="1398"/>
        <w:gridCol w:w="1413"/>
      </w:tblGrid>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品名</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年份</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数量（吨）</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规格</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收购等级</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普通早籼稻（圆早）</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1000</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散装</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三等以上</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国内（需同一产地）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合计</w:t>
            </w:r>
          </w:p>
        </w:tc>
        <w:tc>
          <w:tcPr>
            <w:tcW w:w="4162" w:type="pct"/>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1000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出糙率≥ 75.0 %；整精米率≥ 44.0 %；杂质≤ 1 %；水分≤13.5 %；黄粒米≤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（三）重要申明：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1.委托方采购的稻谷，若水分＞13.5%；脂肪酸值＞20.0 （KOH/干基）mg/ 100g；存在芽谷、霉变；有陈粮混杂；有严重虫粮；卫生指标等不符合国家标准的粮食作无条件退货处理。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2.粮食须过风除杂合格后方可入库。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3.竞得方需在委托方申请入库后5天内首批货物送到，逾期供货或未按期完成供货量的，委托方有权终止履行合同，竞得方承担相应违约责任。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5.其他费用：装车费、运输费、筛下物打包费（含包装袋）等费用由竞得方承担。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7.粮食入库检验由委托方实行一车一检，检验项目为粮食质量指标及重金属镉指标，检验结果不达标的不能入库，由竞得方自行处理。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 xml:space="preserve">10.竞拍方须有符合委托方交货质量指标散装现货并能提供交货质量指标检测报告。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三、交货时间、地点、方式及结算方式的规定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1.交割时间：成交之日起至</w:t>
      </w:r>
      <w:r>
        <w:rPr>
          <w:rStyle w:val="5"/>
          <w:rFonts w:hint="eastAsia" w:ascii="仿宋_GB2312" w:hAnsi="仿宋_GB2312" w:eastAsia="仿宋_GB2312" w:cs="仿宋_GB2312"/>
          <w:sz w:val="28"/>
          <w:szCs w:val="28"/>
        </w:rPr>
        <w:t>2023年11月</w:t>
      </w:r>
      <w:r>
        <w:rPr>
          <w:rStyle w:val="5"/>
          <w:rFonts w:hint="eastAsia" w:ascii="仿宋_GB2312" w:hAnsi="仿宋_GB2312" w:eastAsia="仿宋_GB2312" w:cs="仿宋_GB2312"/>
          <w:sz w:val="28"/>
          <w:szCs w:val="28"/>
          <w:lang w:val="en-US" w:eastAsia="zh-CN"/>
        </w:rPr>
        <w:t>11</w:t>
      </w:r>
      <w:r>
        <w:rPr>
          <w:rStyle w:val="5"/>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止入库完毕并完成验收确认。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（二）工作时间：委托方每天工作时间为：8:00-18:00；交割期限内包括节假日。在此时间内，委托方不得拒接或拖延办理交割手续。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（三）交货地点：南宁市青秀区天合路3号广西国泰粮食集团1号仓内，到库前的一切费用由竞得方负责。注意事项：竞得方应提前与委托方沟通好车辆及集装箱车的限制，因超限引发的各项费用由竞得方承担。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（四）交货方式：以散粮方式仓内交付。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四、报名方式、报名条件、交易方式、截止时间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1．委托方及参加交易的竞拍方须在</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19</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w:t>
      </w:r>
      <w:r>
        <w:rPr>
          <w:rFonts w:hint="eastAsia" w:ascii="仿宋_GB2312" w:hAnsi="仿宋_GB2312" w:eastAsia="仿宋_GB2312" w:cs="仿宋_GB2312"/>
          <w:sz w:val="28"/>
          <w:szCs w:val="28"/>
        </w:rPr>
        <w:t>前按要求办理南宁中心意向方注册、缴纳报名费等。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2.竞拍方报名条件：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（1）提供工商注册营业执照复印件（加盖公章）；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（2）需能提供发票；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（3）报名前提前送稻谷样品，经购买方审核合格后方能竞拍；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（4）具备供应1000吨稻谷的供货能力，且货物均为同一品种，同一产地，同一年份，不可拆标。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3.交易方式：网上公开竞价</w:t>
      </w:r>
      <w:r>
        <w:rPr>
          <w:rFonts w:hint="eastAsia" w:ascii="仿宋_GB2312" w:hAnsi="仿宋_GB2312" w:eastAsia="仿宋_GB2312" w:cs="仿宋_GB2312"/>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4.报名截止时间：</w:t>
      </w:r>
      <w:r>
        <w:rPr>
          <w:rStyle w:val="5"/>
          <w:rFonts w:hint="eastAsia" w:ascii="仿宋_GB2312" w:hAnsi="仿宋_GB2312" w:eastAsia="仿宋_GB2312" w:cs="仿宋_GB2312"/>
          <w:sz w:val="28"/>
          <w:szCs w:val="28"/>
          <w:lang w:eastAsia="zh-CN"/>
        </w:rPr>
        <w:t>2023年10月1</w:t>
      </w:r>
      <w:r>
        <w:rPr>
          <w:rStyle w:val="5"/>
          <w:rFonts w:hint="eastAsia" w:ascii="仿宋_GB2312" w:hAnsi="仿宋_GB2312" w:eastAsia="仿宋_GB2312" w:cs="仿宋_GB2312"/>
          <w:sz w:val="28"/>
          <w:szCs w:val="28"/>
          <w:lang w:val="en-US" w:eastAsia="zh-CN"/>
        </w:rPr>
        <w:t>9</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5.网上提交报名材料：营业执照、法定代表人身份证、报名保证金缴纳凭证，委托代理人参加竞价的，除以上材料外，还需提交授权委托书、代理人身份证。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五、保证金、货款、手续费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1．参加交易的竞拍方须预交保证金30元/吨（含交易保证金20元/吨和履约保证金10元/吨），必须在</w:t>
      </w:r>
      <w:r>
        <w:rPr>
          <w:rStyle w:val="5"/>
          <w:rFonts w:hint="eastAsia" w:ascii="仿宋_GB2312" w:hAnsi="仿宋_GB2312" w:eastAsia="仿宋_GB2312" w:cs="仿宋_GB2312"/>
          <w:sz w:val="28"/>
          <w:szCs w:val="28"/>
          <w:lang w:eastAsia="zh-CN"/>
        </w:rPr>
        <w:t>2023年10月1</w:t>
      </w:r>
      <w:r>
        <w:rPr>
          <w:rStyle w:val="5"/>
          <w:rFonts w:hint="eastAsia" w:ascii="仿宋_GB2312" w:hAnsi="仿宋_GB2312" w:eastAsia="仿宋_GB2312" w:cs="仿宋_GB2312"/>
          <w:sz w:val="28"/>
          <w:szCs w:val="28"/>
          <w:lang w:val="en-US" w:eastAsia="zh-CN"/>
        </w:rPr>
        <w:t>9</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16:00前</w:t>
      </w:r>
      <w:r>
        <w:rPr>
          <w:rFonts w:hint="eastAsia" w:ascii="仿宋_GB2312" w:hAnsi="仿宋_GB2312" w:eastAsia="仿宋_GB2312" w:cs="仿宋_GB2312"/>
          <w:sz w:val="28"/>
          <w:szCs w:val="28"/>
        </w:rPr>
        <w:t>将保证金汇入南宁中心指定银行账户（转账请备注为：</w:t>
      </w:r>
      <w:r>
        <w:rPr>
          <w:rFonts w:hint="eastAsia" w:ascii="仿宋_GB2312" w:hAnsi="仿宋_GB2312" w:eastAsia="仿宋_GB2312" w:cs="仿宋_GB2312"/>
          <w:sz w:val="28"/>
          <w:szCs w:val="28"/>
          <w:lang w:eastAsia="zh-CN"/>
        </w:rPr>
        <w:t>20231020</w:t>
      </w:r>
      <w:r>
        <w:rPr>
          <w:rFonts w:hint="eastAsia" w:ascii="仿宋_GB2312" w:hAnsi="仿宋_GB2312" w:eastAsia="仿宋_GB2312" w:cs="仿宋_GB2312"/>
          <w:sz w:val="28"/>
          <w:szCs w:val="28"/>
        </w:rPr>
        <w:t>期1号仓储备粮竞价保证金）。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保证金汇款账户：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开户名称：南宁市农村产权运营管理有限公司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行：中信银行南宁凤岭支行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账号：8113 0010 1340 0195 614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南宁中心凭委托方盖章签署的《履约完毕通知书》清退竞得方扣除手续费后的保证金。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3．未实现交易的竞拍方可在</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20</w:t>
      </w:r>
      <w:r>
        <w:rPr>
          <w:rStyle w:val="5"/>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六、其他重要事项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1．委托方及参加交易的竞拍方在交易前务必登录网站（https://nanning.nongjiao.com）下载或到南宁中心索取《南宁市农村产权流转南宁中心粮食竞价交易规则（试行）》并了解相关内容。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2．委托方及参加交易的竞拍方可通过登录网站（https://nanning.nongjiao.com）查询本次交易须知及相关资料或直接到南宁中心领取。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七、联系方式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0771-2285888  黄女士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地址：南宁市青秀区长虹路88号B9A-2第六层南宁市农村产权流转交易中心。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交易须知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（一）意向参加交易方须按对应的交易公告（以下简称“当期《交易公告》”）有关要求向南宁中心预交保证金。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首次参与南宁市农村产权流转交易中心（以下简称“南宁中心”）举行的南宁市储备粮电子竞价销售的购买方，须在</w:t>
      </w:r>
      <w:r>
        <w:rPr>
          <w:rFonts w:hint="eastAsia" w:ascii="仿宋_GB2312" w:hAnsi="仿宋_GB2312" w:eastAsia="仿宋_GB2312" w:cs="仿宋_GB2312"/>
          <w:sz w:val="28"/>
          <w:szCs w:val="28"/>
          <w:lang w:eastAsia="zh-CN"/>
        </w:rPr>
        <w:t>2023年10月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16:00前在南宁中心网站（https://nanning.nongjiao.com）注册账号并报名同时按要求缴纳保证金。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二、交易流程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（一）竞价交易须采取按公告规定的方式、时间内线上提交报名材料，缴纳交易保证金，竞价开始后，买方自行利用交易终端（电脑、手机等）参与交易。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报价期满在标的起价价位上无人应价时，则该笔标的视为流拍。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（二）竞价交易采取网上竞价方式，从标的起价价位开始报价，按每吨10元或10元的整数倍递减报价。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（一）程序：来粮经买方抽样进行初验，符合质量标准的粮食过磅称重接收入库。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（三）检质：如有异议，送具有CMA认证资质的粮油质量检测机构检测，费用由责任方承担。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（四）验收地点：买方仓前验收。具体以当期《交易公告》为准。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三、结算数量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以买卖双方已签章的《验收确认单》或卖方盖章的《履约完毕通知书》实际入库数量为标准结算数，按照成交价格结算。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四、质量纠纷处理相关约定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（二）发生质量纠纷时，买方应在到货后３个工作日内以书面或传真的形式及时向竞得方和南宁中心提出，逾期作为验收通过处理。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（三）因质量纠纷发生的一切费用由责任方承担。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（四）负责质量检验的质检机构必须有法定检验检测资质。双方对质检机构的认定不能达成一致时，由南宁中心指定具有法定资质的质量检验检测机构进行检测。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五、保证金赔付相关约定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（二）竞得方违反当期《交易公告》重要申明中退货约定的，按照《南宁市农村产权流转交易中心粮食竞价交易规则（试行）》及当期《交易公告》有关规定处理。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（三）竞得方不能按约按期交货的，视为违约（由不可抗力的情况所导致的交货延期除外）。按照《南宁市农村产权流转交易中心粮食竞价交易规则（试行）》及当期《交易公告》有关规定处理。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六、其他未尽事项说明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未尽事宜，按《中华人民共和国民法典》《南宁市农村产权流转交易中心粮食竞价交易规则（试行）》及当期《交易公告》有关规定处理。</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250C4F40"/>
    <w:rsid w:val="16B24B98"/>
    <w:rsid w:val="250C4F40"/>
    <w:rsid w:val="3050190A"/>
    <w:rsid w:val="32E4633A"/>
    <w:rsid w:val="41995B54"/>
    <w:rsid w:val="54AB6860"/>
    <w:rsid w:val="56C232D8"/>
    <w:rsid w:val="5E7D74BF"/>
    <w:rsid w:val="62B64D4D"/>
    <w:rsid w:val="6FF95250"/>
    <w:rsid w:val="710B2708"/>
    <w:rsid w:val="74D1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2023-10-16T03:14:00Z</dcterms:created>
  <dc:creator>WPS_1641864592</dc:creator>
  <cp:lastModifiedBy>陈文彬</cp:lastModifiedBy>
  <dcterms:modified xsi:type="dcterms:W3CDTF">2023-10-18T01:56:18Z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9BE205873C4A4CE793DFE232F6D28A1D_11</vt:lpwstr>
  </property>
</Properties>
</file>