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202310</w:t>
      </w:r>
      <w:r>
        <w:rPr>
          <w:rFonts w:hint="eastAsia" w:ascii="方正小标宋简体" w:hAnsi="方正小标宋简体" w:eastAsia="方正小标宋简体" w:cs="方正小标宋简体"/>
          <w:b/>
          <w:bCs/>
          <w:sz w:val="36"/>
          <w:szCs w:val="36"/>
          <w:lang w:val="en-US" w:eastAsia="zh-CN"/>
        </w:rPr>
        <w:t>20</w:t>
      </w:r>
      <w:r>
        <w:rPr>
          <w:rFonts w:hint="eastAsia" w:ascii="方正小标宋简体" w:hAnsi="方正小标宋简体" w:eastAsia="方正小标宋简体" w:cs="方正小标宋简体"/>
          <w:b/>
          <w:bCs/>
          <w:sz w:val="36"/>
          <w:szCs w:val="36"/>
        </w:rPr>
        <w:t>期（周</w:t>
      </w:r>
      <w:r>
        <w:rPr>
          <w:rFonts w:hint="eastAsia" w:ascii="方正小标宋简体" w:hAnsi="方正小标宋简体" w:eastAsia="方正小标宋简体" w:cs="方正小标宋简体"/>
          <w:b/>
          <w:bCs/>
          <w:sz w:val="36"/>
          <w:szCs w:val="36"/>
          <w:lang w:val="en-US" w:eastAsia="zh-CN"/>
        </w:rPr>
        <w:t>五</w:t>
      </w:r>
      <w:r>
        <w:rPr>
          <w:rFonts w:hint="eastAsia" w:ascii="方正小标宋简体" w:hAnsi="方正小标宋简体" w:eastAsia="方正小标宋简体" w:cs="方正小标宋简体"/>
          <w:b/>
          <w:bCs/>
          <w:sz w:val="36"/>
          <w:szCs w:val="36"/>
        </w:rPr>
        <w:t>）武鸣区双桥粮库</w:t>
      </w:r>
      <w:r>
        <w:rPr>
          <w:rFonts w:hint="eastAsia" w:ascii="方正小标宋简体" w:hAnsi="方正小标宋简体" w:eastAsia="方正小标宋简体" w:cs="方正小标宋简体"/>
          <w:b/>
          <w:bCs/>
          <w:sz w:val="36"/>
          <w:szCs w:val="36"/>
          <w:lang w:val="en-US" w:eastAsia="zh-CN"/>
        </w:rPr>
        <w:t>7、8、9、18</w:t>
      </w:r>
      <w:r>
        <w:rPr>
          <w:rFonts w:hint="eastAsia" w:ascii="方正小标宋简体" w:hAnsi="方正小标宋简体" w:eastAsia="方正小标宋简体" w:cs="方正小标宋简体"/>
          <w:b/>
          <w:bCs/>
          <w:sz w:val="36"/>
          <w:szCs w:val="36"/>
        </w:rPr>
        <w:t>号仓2500吨储备粮采购交易公告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880" w:firstLineChars="200"/>
        <w:jc w:val="center"/>
        <w:textAlignment w:val="auto"/>
        <w:rPr>
          <w:rFonts w:hint="eastAsia" w:ascii="仿宋_GB2312" w:hAnsi="仿宋_GB2312" w:eastAsia="仿宋_GB2312" w:cs="仿宋_GB2312"/>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南宁市农村产权流转交易中心（以下简称“南宁中心”）受南宁市金谷隆粮油购销有限责任公司（以下简称委托方）委托，定于</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20</w:t>
      </w:r>
      <w:r>
        <w:rPr>
          <w:rStyle w:val="5"/>
          <w:rFonts w:hint="eastAsia" w:ascii="仿宋_GB2312" w:hAnsi="仿宋_GB2312" w:eastAsia="仿宋_GB2312" w:cs="仿宋_GB2312"/>
          <w:sz w:val="28"/>
          <w:szCs w:val="28"/>
        </w:rPr>
        <w:t>日</w:t>
      </w:r>
      <w:r>
        <w:rPr>
          <w:rStyle w:val="5"/>
          <w:rFonts w:hint="eastAsia" w:ascii="仿宋_GB2312" w:hAnsi="仿宋_GB2312" w:eastAsia="仿宋_GB2312" w:cs="仿宋_GB2312"/>
          <w:sz w:val="28"/>
          <w:szCs w:val="28"/>
          <w:lang w:val="en-US" w:eastAsia="zh-CN"/>
        </w:rPr>
        <w:t>上</w:t>
      </w:r>
      <w:r>
        <w:rPr>
          <w:rStyle w:val="5"/>
          <w:rFonts w:hint="eastAsia" w:ascii="仿宋_GB2312" w:hAnsi="仿宋_GB2312" w:eastAsia="仿宋_GB2312" w:cs="仿宋_GB2312"/>
          <w:sz w:val="28"/>
          <w:szCs w:val="28"/>
        </w:rPr>
        <w:t>午1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在南宁中心举办武鸣区双桥粮库</w:t>
      </w:r>
      <w:r>
        <w:rPr>
          <w:rFonts w:hint="eastAsia" w:ascii="仿宋_GB2312" w:hAnsi="仿宋_GB2312" w:eastAsia="仿宋_GB2312" w:cs="仿宋_GB2312"/>
          <w:sz w:val="28"/>
          <w:szCs w:val="28"/>
          <w:lang w:val="en-US" w:eastAsia="zh-CN"/>
        </w:rPr>
        <w:t>7、8、9、18</w:t>
      </w:r>
      <w:r>
        <w:rPr>
          <w:rFonts w:hint="eastAsia" w:ascii="仿宋_GB2312" w:hAnsi="仿宋_GB2312" w:eastAsia="仿宋_GB2312" w:cs="仿宋_GB2312"/>
          <w:sz w:val="28"/>
          <w:szCs w:val="28"/>
        </w:rPr>
        <w:t>仓储备粮采购竞价交易，现就相关事项公告如下：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一、竞价交易时间和地点：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时间</w:t>
      </w:r>
      <w:bookmarkStart w:id="0" w:name="_GoBack"/>
      <w:bookmarkEnd w:id="0"/>
      <w:r>
        <w:rPr>
          <w:rFonts w:hint="eastAsia" w:ascii="仿宋_GB2312" w:hAnsi="仿宋_GB2312" w:eastAsia="仿宋_GB2312" w:cs="仿宋_GB2312"/>
          <w:sz w:val="28"/>
          <w:szCs w:val="28"/>
        </w:rPr>
        <w:t>：</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20</w:t>
      </w:r>
      <w:r>
        <w:rPr>
          <w:rStyle w:val="5"/>
          <w:rFonts w:hint="eastAsia" w:ascii="仿宋_GB2312" w:hAnsi="仿宋_GB2312" w:eastAsia="仿宋_GB2312" w:cs="仿宋_GB2312"/>
          <w:sz w:val="28"/>
          <w:szCs w:val="28"/>
        </w:rPr>
        <w:t>日（星期</w:t>
      </w:r>
      <w:r>
        <w:rPr>
          <w:rStyle w:val="5"/>
          <w:rFonts w:hint="eastAsia" w:ascii="仿宋_GB2312" w:hAnsi="仿宋_GB2312" w:eastAsia="仿宋_GB2312" w:cs="仿宋_GB2312"/>
          <w:sz w:val="28"/>
          <w:szCs w:val="28"/>
          <w:lang w:val="en-US" w:eastAsia="zh-CN"/>
        </w:rPr>
        <w:t>五</w:t>
      </w:r>
      <w:r>
        <w:rPr>
          <w:rStyle w:val="5"/>
          <w:rFonts w:hint="eastAsia" w:ascii="仿宋_GB2312" w:hAnsi="仿宋_GB2312" w:eastAsia="仿宋_GB2312" w:cs="仿宋_GB2312"/>
          <w:sz w:val="28"/>
          <w:szCs w:val="28"/>
        </w:rPr>
        <w:t>）1</w:t>
      </w:r>
      <w:r>
        <w:rPr>
          <w:rStyle w:val="5"/>
          <w:rFonts w:hint="eastAsia" w:ascii="仿宋_GB2312" w:hAnsi="仿宋_GB2312" w:eastAsia="仿宋_GB2312" w:cs="仿宋_GB2312"/>
          <w:sz w:val="28"/>
          <w:szCs w:val="28"/>
          <w:lang w:val="en-US" w:eastAsia="zh-CN"/>
        </w:rPr>
        <w:t>0</w:t>
      </w:r>
      <w:r>
        <w:rPr>
          <w:rStyle w:val="5"/>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地点：南宁市农村产权流转交易中心网上竞拍大厅。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二、竞价交易的品名、年份、数量：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（一）数量要求：</w:t>
      </w:r>
    </w:p>
    <w:tbl>
      <w:tblPr>
        <w:tblStyle w:val="3"/>
        <w:tblW w:w="4997" w:type="pct"/>
        <w:tblInd w:w="0" w:type="dxa"/>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375"/>
        <w:gridCol w:w="1375"/>
        <w:gridCol w:w="1385"/>
        <w:gridCol w:w="1385"/>
        <w:gridCol w:w="1398"/>
        <w:gridCol w:w="1413"/>
      </w:tblGrid>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品名</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280" w:firstLineChars="1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年份</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数量（吨）</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规格</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收购等级</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普通早籼稻</w:t>
            </w:r>
          </w:p>
        </w:tc>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2023</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2500</w:t>
            </w:r>
          </w:p>
        </w:tc>
        <w:tc>
          <w:tcPr>
            <w:tcW w:w="829"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散装</w:t>
            </w:r>
          </w:p>
        </w:tc>
        <w:tc>
          <w:tcPr>
            <w:tcW w:w="836"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三等以上</w:t>
            </w:r>
          </w:p>
        </w:tc>
        <w:tc>
          <w:tcPr>
            <w:tcW w:w="842"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国内（需同一产地）</w:t>
            </w:r>
          </w:p>
        </w:tc>
      </w:tr>
      <w:tr>
        <w:tblPrEx>
          <w:tblBorders>
            <w:top w:val="inset" w:color="000000" w:sz="6" w:space="0"/>
            <w:left w:val="inset" w:color="000000" w:sz="6" w:space="0"/>
            <w:bottom w:val="inset" w:color="000000" w:sz="6" w:space="0"/>
            <w:right w:val="inset"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23"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合计</w:t>
            </w:r>
          </w:p>
        </w:tc>
        <w:tc>
          <w:tcPr>
            <w:tcW w:w="4162" w:type="pct"/>
            <w:gridSpan w:val="5"/>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2500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（二）质量要求：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出糙率≥ 75.0 %；整精米率≥ 44.0 %；杂质≤ 1%；水分≤13.5 %；黄粒米≤ 0.7 %；谷外糙米≤ 1.8%；脂肪酸值≤20 （KOH/干基）mg/100g；品尝评分值≥75；互混率≤ 5.0 %；色泽、气味正常；无芽谷，无霉变；无陈粮混杂；无虫粮；严禁掺杂使假、以陈顶新。卫生指标符合国家标准。【其中镉（以cd计）/㎎/㎏≤0.18；无机砷（以As计）/㎎/㎏≤0.17；铅（以Pb计）/㎎/㎏≤0.15；总汞（以Hg计）/㎎/㎏≦0.015；黄曲霉毒素B1/μg/㎏≤7;敌敌畏/㎎/㎏≤0.08；马拉硫磷㎎/㎏≤6；氯氰菊酯㎎/㎏≤1.5，辛硫磷㎎/㎏≤0.04；毒死蜱㎎/㎏≤0.4，甲拌磷㎎/㎏≤0.04；三唑磷㎎/㎏≤0.04。】（竞得方须提供具有对外检验资质的检验机构出具的卫生指标检验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（三）重要申明：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1.委托方采购的稻谷，若水分＞13.5%；脂肪酸值＞20.0 （KOH/干基）mg/ 100g；存在芽谷、霉变；有陈粮混杂；有严重虫粮；卫生指标等不符合国家标准的粮食作无条件退货处理。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2.粮食须过风除杂合格后方可入库。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3.竞得方需在委托方申请入库后5天内首批货物送到，逾期供货或未按期完成供货量的，委托方有权终止履行合同，竞得方承担相应违约责任。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5.其他费用：装车费、运输费、筛下物打包费（含包装袋）等费用由竞得方承担。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6.根据广西壮族自治区粮油质量检验中心检测的满仓鉴定结果，若卫生指标不符合国家标准，或有陈粮互混的，将扣除整仓20%的货款暂不支付，专项用于弥补处理不符合质量的货物的损失，余额部分再支付竞得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7.粮食入库检验由委托方实行一车一检，检验项目为粮食质量指标及重金属镉指标，检验结果不达标的不能入库，由竞得方自行处理。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8.入库完成（平仓）后由委托方、粮权方和贷款银行“三方”按国家标准共同抽样送广西壮族自治区粮油质量检验中心检验，如检验结果不合格，任一方可申请用备样复检一次，复检结果达标的视为合格，作为政府储备粮验收依据，经上述两次检验仍不达标的不能转为政府储备粮。</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委托方有权处理。竞得方须按双方签订的协议提供新的粮食给委托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 xml:space="preserve">10.竞拍方须有符合委托方交货质量指标散装现货并能提供交货质量指标检测报告。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三、交货时间、地点、方式及结算方式的规定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（一）交货时间：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1.交割时间：2023年11月4日至2023年12月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日止入库完毕并完成验收确认。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每日安排接货最大数量为200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（二）工作时间：委托方每天工作时间为：8:00-18:00；交割期限内包括节假日。在此时间内，委托方不得拒接或拖延办理交割手续。</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（三）交货地点：南宁市武鸣区粮油购销有限总公司双桥分公司</w:t>
      </w:r>
      <w:r>
        <w:rPr>
          <w:rFonts w:hint="eastAsia" w:ascii="仿宋_GB2312" w:hAnsi="仿宋_GB2312" w:eastAsia="仿宋_GB2312" w:cs="仿宋_GB2312"/>
          <w:sz w:val="28"/>
          <w:szCs w:val="28"/>
          <w:lang w:val="en-US" w:eastAsia="zh-CN"/>
        </w:rPr>
        <w:t>7、8、9、18</w:t>
      </w:r>
      <w:r>
        <w:rPr>
          <w:rFonts w:hint="eastAsia" w:ascii="仿宋_GB2312" w:hAnsi="仿宋_GB2312" w:eastAsia="仿宋_GB2312" w:cs="仿宋_GB2312"/>
          <w:sz w:val="28"/>
          <w:szCs w:val="28"/>
        </w:rPr>
        <w:t>号仓内，到库前的一切费用由竞得方负责。注意事项：竞得方应提前与委托方沟通好车辆及集装箱车的限制，因超限引发的各项费用由竞得方承担。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（四）交货方式：以散粮方式仓内交付。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货款结算方式：成交履约标的物的货款由委托方和竞得方自行结算，南宁中心不负责、不参与货款支付、催收、结算等事项，若因货款支付、催收、结算等问题引起的纠纷，由委托方与竞得方自行解决。在粮食初检合格入库后，以委托方单位电子磅为计量依据，3个工作日内支付已入库粮食的80%货款，剩下的20%在入库完成并验收、竞得方提供发票后5个工作日内结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四、报名方式、报名条件、交易方式、截止时间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1．委托方及参加交易的竞拍方须在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19</w:t>
      </w:r>
      <w:r>
        <w:rPr>
          <w:rStyle w:val="5"/>
          <w:rFonts w:hint="eastAsia" w:ascii="仿宋_GB2312" w:hAnsi="仿宋_GB2312" w:eastAsia="仿宋_GB2312" w:cs="仿宋_GB2312"/>
          <w:sz w:val="28"/>
          <w:szCs w:val="28"/>
        </w:rPr>
        <w:t>日下午16:00</w:t>
      </w:r>
      <w:r>
        <w:rPr>
          <w:rFonts w:hint="eastAsia" w:ascii="仿宋_GB2312" w:hAnsi="仿宋_GB2312" w:eastAsia="仿宋_GB2312" w:cs="仿宋_GB2312"/>
          <w:sz w:val="28"/>
          <w:szCs w:val="28"/>
        </w:rPr>
        <w:t>前按要求办理南宁中心意向方注册、缴纳报名费等。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2.竞拍方报名条件：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（1）提供工商注册营业执照复印件（加盖公章）；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（2）需能提供发票；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（3）报名前提前送稻谷样品，经购买方审核合格后方能竞拍；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（4）具备供应2500吨稻谷的供货能力，且货物均为同一品种，同一产地，同一年份，不可拆标。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3.交易方式：网上公开竞价</w:t>
      </w:r>
      <w:r>
        <w:rPr>
          <w:rFonts w:hint="eastAsia" w:ascii="仿宋_GB2312" w:hAnsi="仿宋_GB2312" w:eastAsia="仿宋_GB2312" w:cs="仿宋_GB2312"/>
          <w:sz w:val="28"/>
          <w:szCs w:val="2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4.报名截止时间：</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19</w:t>
      </w:r>
      <w:r>
        <w:rPr>
          <w:rStyle w:val="5"/>
          <w:rFonts w:hint="eastAsia" w:ascii="仿宋_GB2312" w:hAnsi="仿宋_GB2312" w:eastAsia="仿宋_GB2312" w:cs="仿宋_GB2312"/>
          <w:sz w:val="28"/>
          <w:szCs w:val="28"/>
        </w:rPr>
        <w:t>日下午16:00前。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5.网上提交报名材料：营业执照、法定代表人身份证、报名保证金缴纳凭证，委托代理人参加竞价的，除以上材料外，还需提交授权委托书、代理人身份证。</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五、保证金、货款、手续费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1．参加交易的竞拍方须预交保证金30元/吨（含交易保证金20元/吨和履约保证金10元/吨），必须在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19</w:t>
      </w:r>
      <w:r>
        <w:rPr>
          <w:rStyle w:val="5"/>
          <w:rFonts w:hint="eastAsia" w:ascii="仿宋_GB2312" w:hAnsi="仿宋_GB2312" w:eastAsia="仿宋_GB2312" w:cs="仿宋_GB2312"/>
          <w:sz w:val="28"/>
          <w:szCs w:val="28"/>
        </w:rPr>
        <w:t>日下午16:00前</w:t>
      </w:r>
      <w:r>
        <w:rPr>
          <w:rFonts w:hint="eastAsia" w:ascii="仿宋_GB2312" w:hAnsi="仿宋_GB2312" w:eastAsia="仿宋_GB2312" w:cs="仿宋_GB2312"/>
          <w:sz w:val="28"/>
          <w:szCs w:val="28"/>
        </w:rPr>
        <w:t>将保证金汇入南宁中心指定银行账户（转账请备注为：202310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7、8、9、18</w:t>
      </w:r>
      <w:r>
        <w:rPr>
          <w:rFonts w:hint="eastAsia" w:ascii="仿宋_GB2312" w:hAnsi="仿宋_GB2312" w:eastAsia="仿宋_GB2312" w:cs="仿宋_GB2312"/>
          <w:sz w:val="28"/>
          <w:szCs w:val="28"/>
        </w:rPr>
        <w:t>号仓储备粮竞价保证金）。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保证金汇款账户：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开户名称：南宁市农村产权运营管理有限公司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行：中信银行南宁凤岭支行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账号：8113 0010 1340 0195 614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南宁中心凭委托方盖章签署的《履约完毕通知书》清退竞得方扣除手续费后的保证金。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标的物成交后，由委托方或其指定的结算单位与竞得方签订《粮食竞价交易购销合同》且由其与竞得方进行货款结算。南宁中心向竞得方收取成交总额的0.5‰的交易手续费，未成交的不收取手续费。合同终止，手续费均不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3．未实现交易的竞拍方可在</w:t>
      </w:r>
      <w:r>
        <w:rPr>
          <w:rStyle w:val="5"/>
          <w:rFonts w:hint="eastAsia" w:ascii="仿宋_GB2312" w:hAnsi="仿宋_GB2312" w:eastAsia="仿宋_GB2312" w:cs="仿宋_GB2312"/>
          <w:sz w:val="28"/>
          <w:szCs w:val="28"/>
        </w:rPr>
        <w:t>2023年10月</w:t>
      </w:r>
      <w:r>
        <w:rPr>
          <w:rStyle w:val="5"/>
          <w:rFonts w:hint="eastAsia" w:ascii="仿宋_GB2312" w:hAnsi="仿宋_GB2312" w:eastAsia="仿宋_GB2312" w:cs="仿宋_GB2312"/>
          <w:sz w:val="28"/>
          <w:szCs w:val="28"/>
          <w:lang w:val="en-US" w:eastAsia="zh-CN"/>
        </w:rPr>
        <w:t>20</w:t>
      </w:r>
      <w:r>
        <w:rPr>
          <w:rStyle w:val="5"/>
          <w:rFonts w:hint="eastAsia" w:ascii="仿宋_GB2312" w:hAnsi="仿宋_GB2312" w:eastAsia="仿宋_GB2312" w:cs="仿宋_GB2312"/>
          <w:sz w:val="28"/>
          <w:szCs w:val="28"/>
        </w:rPr>
        <w:t>日</w:t>
      </w:r>
      <w:r>
        <w:rPr>
          <w:rFonts w:hint="eastAsia" w:ascii="仿宋_GB2312" w:hAnsi="仿宋_GB2312" w:eastAsia="仿宋_GB2312" w:cs="仿宋_GB2312"/>
          <w:sz w:val="28"/>
          <w:szCs w:val="28"/>
        </w:rPr>
        <w:t>后的工作日内09:00—16:00向南宁中心提出退款申请，南宁中心将在5个工作日内经审核后退还其所缴纳的交易保证金和履约保证金。未主动申请退款的视为保留交易保证金和履约保证金在南宁中心，可用于参加下期交易或支付货款，不作退款处理。南宁中心对其暂存南宁中心账户的资金按指令代收、代付、代管。竞买方申请退款的，南宁中心无息退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就本次交易，委托方没有向南宁中心预交保证金。若由于委托方存在违约行为造成竞得方损失的，由竞得方自行按照相关法律法规的规定及《粮食购销合同》的约定向委托方追索违约金及其他损失，南宁中心不负责、不参与违约金扣划、支付有关的任何事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六、其他重要事项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1．委托方及参加交易的竞拍方在交易前务必登录网站（https://nanning.nongjiao.com）下载或到南宁中心索取《南宁市农村产权流转南宁中心粮食竞价交易规则（试行）》并了解相关内容。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2．委托方及参加交易的竞拍方可通过登录网站（https://nanning.nongjiao.com）查询本次交易须知及相关资料或直接到南宁中心领取。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七、联系方式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0771-2285888  黄女士</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地址：南宁市青秀区长虹路88号B9A-2第六层南宁市农村产权流转交易中心。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2" w:firstLineChars="200"/>
        <w:jc w:val="center"/>
        <w:textAlignment w:val="auto"/>
        <w:rPr>
          <w:rFonts w:hint="eastAsia" w:ascii="仿宋_GB2312" w:hAnsi="仿宋_GB2312" w:eastAsia="仿宋_GB2312" w:cs="仿宋_GB2312"/>
          <w:sz w:val="28"/>
          <w:szCs w:val="28"/>
        </w:rPr>
      </w:pPr>
      <w:r>
        <w:rPr>
          <w:rStyle w:val="5"/>
          <w:rFonts w:hint="eastAsia" w:ascii="仿宋_GB2312" w:hAnsi="仿宋_GB2312" w:eastAsia="仿宋_GB2312" w:cs="仿宋_GB2312"/>
          <w:sz w:val="28"/>
          <w:szCs w:val="28"/>
        </w:rPr>
        <w:t>交易须知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一、报名注册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（一）意向参加交易方须按对应的交易公告（以下简称“当期《交易公告》”）有关要求向南宁中心预交保证金。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首次参与南宁市农村产权流转交易中心（以下简称“南宁中心”）举行的南宁市储备粮电子竞价销售的购买方，须在2023年10月</w:t>
      </w:r>
      <w:r>
        <w:rPr>
          <w:rFonts w:hint="eastAsia" w:ascii="仿宋_GB2312" w:hAnsi="仿宋_GB2312" w:eastAsia="仿宋_GB2312" w:cs="仿宋_GB2312"/>
          <w:sz w:val="28"/>
          <w:szCs w:val="28"/>
          <w:lang w:val="en-US" w:eastAsia="zh-CN"/>
        </w:rPr>
        <w:t>19</w:t>
      </w:r>
      <w:r>
        <w:rPr>
          <w:rFonts w:hint="eastAsia" w:ascii="仿宋_GB2312" w:hAnsi="仿宋_GB2312" w:eastAsia="仿宋_GB2312" w:cs="仿宋_GB2312"/>
          <w:sz w:val="28"/>
          <w:szCs w:val="28"/>
        </w:rPr>
        <w:t>日16:00前在南宁中心网站（https://nanning.nongjiao.com）注册账号并报名同时按要求缴纳保证金。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意向方参与交易前，应认真阅读交易清单及相关交易规则、须知及公告，一旦参与竞买报价，则视同认可并接受当期《交易公告》当中所有采购要求。交易结果以南宁中心交易记录为准。成交后，竞得方必须无条件接受交易期间通过竞价交易所产生的结果，不得以不了解或不完全了解有关事项为由不确认该项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二、交易流程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（一）竞价交易须采取按公告规定的方式、时间内线上提交报名材料，缴纳交易保证金，竞价开始后，买方自行利用交易终端（电脑、手机等）参与交易。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报价期满在标的起价价位上无人应价时，则该笔标的视为流拍。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（二）竞价交易采取网上竞价方式，从标的起价价位开始报价，按每吨10元或10元的整数倍递减报价。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三、验收办法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（一）程序：来粮经买方抽样进行初验，符合质量标准的粮食过磅称重接收入库。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检斤：地磅检斤；使用的地磅须经过广西壮族自治区计量检测研究院检定，竞得方对磅秤标准有质疑时，可通过向广西壮族自治区计量检测研究院提出验秤要求，买方应予配合不得拒绝，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（三）检质：如有异议，送具有CMA认证资质的粮油质量检测机构检测，费用由责任方承担。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（四）验收地点：买方仓前验收。具体以当期《交易公告》为准。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三、结算数量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以买卖双方已签章的《验收确认单》或卖方盖章的《履约完毕通知书》实际入库数量为标准结算数，按照成交价格结算。</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四、质量纠纷处理相关约定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（二）发生质量纠纷时，买方应在到货后３个工作日内以书面或传真的形式及时向竞得方和南宁中心提出，逾期作为验收通过处理。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（三）因质量纠纷发生的一切费用由责任方承担。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（四）负责质量检验的质检机构必须有法定检验检测资质。双方对质检机构的认定不能达成一致时，由南宁中心指定具有法定资质的质量检验检测机构进行检测。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五、保证金赔付相关约定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（二）竞得方违反当期《交易公告》重要申明中退货约定的，按照《南宁市农村产权流转交易中心粮食竞价交易规则（试行）》及当期《交易公告》有关规定处理。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（三）竞得方不能按约按期交货的，视为违约（由不可抗力的情况所导致的交货延期除外）。按照《南宁市农村产权流转交易中心粮食竞价交易规则（试行）》及当期《交易公告》有关规定处理。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若因买方存在违约行为造成竞得方损失的，买方须按照《南宁市农村产权流转交易中心粮食竞价交易规则（试行）》《粮食竞价交易购销合同》及相关法律法规的规定向竞得方支付违约金及赔偿相应的损失。违约金按竞拍方预交的保证金同等金额及比例计算（如：30元/吨（含交易保证金20元/吨和履约保证金10元/吨），则买方违约时按同等金额及比例支付违约金）。</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六、其他未尽事项说明</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未尽事宜，按《中华人民共和国民法典》《南宁市农村产权流转交易中心粮食竞价交易规则（试行）》及当期《交易公告》有关规定处理。</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53FF7FED"/>
    <w:rsid w:val="190E24E6"/>
    <w:rsid w:val="2B035C23"/>
    <w:rsid w:val="3FED5201"/>
    <w:rsid w:val="45A677CE"/>
    <w:rsid w:val="4F2C6C47"/>
    <w:rsid w:val="50FF5F43"/>
    <w:rsid w:val="53FF7FED"/>
    <w:rsid w:val="562401C4"/>
    <w:rsid w:val="5D227DEB"/>
    <w:rsid w:val="681C38A5"/>
    <w:rsid w:val="6A95793E"/>
    <w:rsid w:val="6B453112"/>
    <w:rsid w:val="7C967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2023-10-16T03:12:00Z</dcterms:created>
  <dc:creator>WPS_1641864592</dc:creator>
  <cp:lastModifiedBy>陈文彬</cp:lastModifiedBy>
  <dcterms:modified xsi:type="dcterms:W3CDTF">2023-10-18T01:55:45Z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F718ED8BB2524E719B911A6AEB37B5FD_13</vt:lpwstr>
  </property>
</Properties>
</file>