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0" w:firstLineChars="0"/>
        <w:jc w:val="center"/>
        <w:rPr>
          <w:rFonts w:ascii="宋体" w:hAnsi="宋体" w:eastAsia="宋体"/>
          <w:b/>
          <w:bCs/>
          <w:sz w:val="44"/>
          <w:szCs w:val="44"/>
        </w:rPr>
      </w:pPr>
      <w:r>
        <w:rPr>
          <w:rFonts w:hint="eastAsia" w:ascii="宋体" w:hAnsi="宋体" w:eastAsia="宋体"/>
          <w:b/>
          <w:bCs/>
          <w:sz w:val="44"/>
          <w:szCs w:val="44"/>
        </w:rPr>
        <w:t>骨料毛石购销合同（预售）</w:t>
      </w:r>
    </w:p>
    <w:p>
      <w:pPr>
        <w:spacing w:line="276" w:lineRule="auto"/>
        <w:ind w:firstLine="0" w:firstLineChars="0"/>
        <w:rPr>
          <w:rFonts w:ascii="宋体" w:hAnsi="宋体" w:eastAsia="宋体"/>
          <w:sz w:val="21"/>
          <w:szCs w:val="21"/>
        </w:rPr>
      </w:pPr>
    </w:p>
    <w:p>
      <w:pPr>
        <w:spacing w:line="276" w:lineRule="auto"/>
        <w:ind w:firstLine="4830" w:firstLineChars="2300"/>
        <w:rPr>
          <w:rFonts w:ascii="宋体" w:hAnsi="宋体" w:eastAsia="宋体"/>
          <w:sz w:val="21"/>
          <w:szCs w:val="21"/>
        </w:rPr>
      </w:pPr>
      <w:r>
        <w:rPr>
          <w:rFonts w:hint="eastAsia" w:ascii="宋体" w:hAnsi="宋体" w:eastAsia="宋体"/>
          <w:sz w:val="21"/>
          <w:szCs w:val="21"/>
        </w:rPr>
        <w:t xml:space="preserve">             合同编号： </w:t>
      </w:r>
    </w:p>
    <w:p>
      <w:pPr>
        <w:spacing w:line="276" w:lineRule="auto"/>
        <w:ind w:firstLine="6195" w:firstLineChars="2950"/>
        <w:rPr>
          <w:rFonts w:ascii="宋体" w:hAnsi="宋体" w:eastAsia="宋体"/>
          <w:sz w:val="21"/>
          <w:szCs w:val="21"/>
        </w:rPr>
      </w:pPr>
      <w:r>
        <w:rPr>
          <w:rFonts w:hint="eastAsia" w:ascii="宋体" w:hAnsi="宋体" w:eastAsia="宋体"/>
          <w:sz w:val="21"/>
          <w:szCs w:val="21"/>
        </w:rPr>
        <w:t>签订地点：</w:t>
      </w:r>
    </w:p>
    <w:p>
      <w:pPr>
        <w:adjustRightInd w:val="0"/>
        <w:snapToGrid w:val="0"/>
        <w:spacing w:line="276" w:lineRule="auto"/>
        <w:ind w:firstLine="0" w:firstLineChars="0"/>
        <w:rPr>
          <w:rFonts w:ascii="宋体" w:hAnsi="宋体" w:eastAsia="宋体"/>
          <w:sz w:val="21"/>
          <w:szCs w:val="21"/>
        </w:rPr>
      </w:pPr>
    </w:p>
    <w:p>
      <w:pPr>
        <w:adjustRightInd w:val="0"/>
        <w:snapToGrid w:val="0"/>
        <w:spacing w:line="276" w:lineRule="auto"/>
        <w:ind w:firstLine="0" w:firstLineChars="0"/>
        <w:rPr>
          <w:rFonts w:ascii="宋体" w:hAnsi="宋体" w:eastAsia="宋体"/>
          <w:sz w:val="21"/>
          <w:szCs w:val="21"/>
          <w:u w:val="single"/>
        </w:rPr>
      </w:pPr>
    </w:p>
    <w:p>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卖  方：</w:t>
      </w:r>
      <w:r>
        <w:rPr>
          <w:rFonts w:hint="eastAsia" w:ascii="宋体" w:hAnsi="宋体" w:eastAsia="宋体"/>
          <w:sz w:val="21"/>
          <w:szCs w:val="21"/>
          <w:u w:val="single"/>
        </w:rPr>
        <w:t xml:space="preserve"> 海垦润丰（屯昌）新型环保建材有限公司  </w:t>
      </w:r>
      <w:r>
        <w:rPr>
          <w:rFonts w:hint="eastAsia" w:ascii="宋体" w:hAnsi="宋体" w:eastAsia="宋体"/>
          <w:sz w:val="21"/>
          <w:szCs w:val="21"/>
        </w:rPr>
        <w:t>（以下简称</w:t>
      </w:r>
      <w:r>
        <w:rPr>
          <w:rFonts w:ascii="宋体" w:hAnsi="宋体" w:eastAsia="宋体"/>
          <w:sz w:val="21"/>
          <w:szCs w:val="21"/>
        </w:rPr>
        <w:t>“</w:t>
      </w:r>
      <w:r>
        <w:rPr>
          <w:rFonts w:hint="eastAsia" w:ascii="宋体" w:hAnsi="宋体" w:eastAsia="宋体"/>
          <w:sz w:val="21"/>
          <w:szCs w:val="21"/>
        </w:rPr>
        <w:t>甲方</w:t>
      </w:r>
      <w:r>
        <w:rPr>
          <w:rFonts w:ascii="宋体" w:hAnsi="宋体" w:eastAsia="宋体"/>
          <w:sz w:val="21"/>
          <w:szCs w:val="21"/>
        </w:rPr>
        <w:t>”</w:t>
      </w:r>
      <w:r>
        <w:rPr>
          <w:rFonts w:hint="eastAsia" w:ascii="宋体" w:hAnsi="宋体" w:eastAsia="宋体"/>
          <w:sz w:val="21"/>
          <w:szCs w:val="21"/>
        </w:rPr>
        <w:t>）</w:t>
      </w:r>
    </w:p>
    <w:p>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地  址：</w:t>
      </w:r>
      <w:r>
        <w:rPr>
          <w:rFonts w:hint="eastAsia" w:ascii="宋体" w:hAnsi="宋体" w:eastAsia="宋体"/>
          <w:sz w:val="21"/>
          <w:szCs w:val="21"/>
          <w:u w:val="single"/>
        </w:rPr>
        <w:t xml:space="preserve"> 海南省屯昌县环东一路26号</w:t>
      </w:r>
      <w:r>
        <w:rPr>
          <w:rFonts w:ascii="宋体" w:hAnsi="宋体" w:eastAsia="宋体"/>
          <w:sz w:val="21"/>
          <w:szCs w:val="21"/>
          <w:u w:val="single"/>
        </w:rPr>
        <w:t xml:space="preserve"> </w:t>
      </w:r>
      <w:r>
        <w:rPr>
          <w:rFonts w:hint="eastAsia" w:ascii="宋体" w:hAnsi="宋体" w:eastAsia="宋体"/>
          <w:sz w:val="21"/>
          <w:szCs w:val="21"/>
          <w:u w:val="single"/>
        </w:rPr>
        <w:t>  </w:t>
      </w:r>
    </w:p>
    <w:p>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电  话：</w:t>
      </w:r>
      <w:r>
        <w:rPr>
          <w:rFonts w:hint="eastAsia" w:ascii="宋体" w:hAnsi="宋体" w:eastAsia="宋体"/>
          <w:sz w:val="21"/>
          <w:szCs w:val="21"/>
          <w:u w:val="single"/>
        </w:rPr>
        <w:t> 0898-36811008        </w:t>
      </w:r>
    </w:p>
    <w:p>
      <w:pPr>
        <w:widowControl/>
        <w:ind w:firstLine="0" w:firstLineChars="0"/>
        <w:jc w:val="left"/>
        <w:rPr>
          <w:rFonts w:ascii="宋体" w:hAnsi="宋体" w:eastAsia="宋体" w:cs="宋体"/>
          <w:kern w:val="0"/>
          <w:sz w:val="24"/>
        </w:rPr>
      </w:pPr>
    </w:p>
    <w:p>
      <w:pPr>
        <w:adjustRightInd w:val="0"/>
        <w:snapToGrid w:val="0"/>
        <w:spacing w:line="276" w:lineRule="auto"/>
        <w:ind w:firstLine="0" w:firstLineChars="0"/>
        <w:rPr>
          <w:rFonts w:ascii="宋体" w:hAnsi="宋体" w:eastAsia="宋体"/>
          <w:sz w:val="21"/>
          <w:szCs w:val="21"/>
          <w:u w:val="single"/>
        </w:rPr>
      </w:pPr>
    </w:p>
    <w:p>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买  方：</w:t>
      </w:r>
      <w:r>
        <w:rPr>
          <w:rFonts w:hint="eastAsia" w:ascii="宋体" w:hAnsi="宋体" w:eastAsia="宋体"/>
          <w:sz w:val="21"/>
          <w:szCs w:val="21"/>
          <w:u w:val="single"/>
        </w:rPr>
        <w:t xml:space="preserve">                        </w:t>
      </w:r>
      <w:r>
        <w:rPr>
          <w:rFonts w:hint="eastAsia" w:ascii="宋体" w:hAnsi="宋体" w:eastAsia="宋体"/>
          <w:sz w:val="21"/>
          <w:szCs w:val="21"/>
        </w:rPr>
        <w:t>（以下简称</w:t>
      </w:r>
      <w:r>
        <w:rPr>
          <w:rFonts w:ascii="宋体" w:hAnsi="宋体" w:eastAsia="宋体"/>
          <w:sz w:val="21"/>
          <w:szCs w:val="21"/>
        </w:rPr>
        <w:t>“</w:t>
      </w:r>
      <w:r>
        <w:rPr>
          <w:rFonts w:hint="eastAsia" w:ascii="宋体" w:hAnsi="宋体" w:eastAsia="宋体"/>
          <w:sz w:val="21"/>
          <w:szCs w:val="21"/>
        </w:rPr>
        <w:t>乙方</w:t>
      </w:r>
      <w:r>
        <w:rPr>
          <w:rFonts w:ascii="宋体" w:hAnsi="宋体" w:eastAsia="宋体"/>
          <w:sz w:val="21"/>
          <w:szCs w:val="21"/>
        </w:rPr>
        <w:t>”</w:t>
      </w:r>
      <w:r>
        <w:rPr>
          <w:rFonts w:hint="eastAsia" w:ascii="宋体" w:hAnsi="宋体" w:eastAsia="宋体"/>
          <w:sz w:val="21"/>
          <w:szCs w:val="21"/>
        </w:rPr>
        <w:t>）</w:t>
      </w:r>
    </w:p>
    <w:p>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地  址：</w:t>
      </w:r>
      <w:r>
        <w:rPr>
          <w:rFonts w:hint="eastAsia" w:ascii="宋体" w:hAnsi="宋体" w:eastAsia="宋体"/>
          <w:sz w:val="21"/>
          <w:szCs w:val="21"/>
          <w:u w:val="single"/>
        </w:rPr>
        <w:t>                                        </w:t>
      </w:r>
    </w:p>
    <w:p>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电  话：</w:t>
      </w:r>
      <w:r>
        <w:rPr>
          <w:rFonts w:hint="eastAsia" w:ascii="宋体" w:hAnsi="宋体" w:eastAsia="宋体"/>
          <w:sz w:val="21"/>
          <w:szCs w:val="21"/>
          <w:u w:val="single"/>
        </w:rPr>
        <w:t>               </w:t>
      </w:r>
    </w:p>
    <w:p>
      <w:pPr>
        <w:adjustRightInd w:val="0"/>
        <w:snapToGrid w:val="0"/>
        <w:spacing w:line="276" w:lineRule="auto"/>
        <w:ind w:firstLine="0" w:firstLineChars="0"/>
        <w:rPr>
          <w:rFonts w:ascii="宋体" w:hAnsi="宋体" w:eastAsia="宋体"/>
          <w:sz w:val="21"/>
          <w:szCs w:val="21"/>
          <w:u w:val="single"/>
        </w:rPr>
      </w:pP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甲、乙双方根据</w:t>
      </w:r>
      <w:r>
        <w:rPr>
          <w:rFonts w:hint="eastAsia" w:ascii="宋体" w:hAnsi="宋体" w:eastAsia="宋体" w:cs="宋体"/>
          <w:sz w:val="21"/>
          <w:szCs w:val="21"/>
        </w:rPr>
        <w:t>《中华人民共和国民法典》</w:t>
      </w:r>
      <w:r>
        <w:rPr>
          <w:rFonts w:hint="eastAsia" w:ascii="宋体" w:hAnsi="宋体" w:eastAsia="宋体"/>
          <w:sz w:val="21"/>
          <w:szCs w:val="21"/>
        </w:rPr>
        <w:t>及其他有关法律、法规的规定，本着诚实信用、互惠互利的商业合作精神，在平等自愿、协商一致的基础上，就骨料购销事宜签订本合同，以资信守。</w:t>
      </w:r>
    </w:p>
    <w:p>
      <w:pPr>
        <w:adjustRightInd w:val="0"/>
        <w:snapToGrid w:val="0"/>
        <w:spacing w:line="276" w:lineRule="auto"/>
        <w:ind w:firstLine="422"/>
        <w:outlineLvl w:val="0"/>
        <w:rPr>
          <w:rFonts w:ascii="宋体" w:hAnsi="宋体" w:eastAsia="宋体"/>
          <w:b/>
          <w:bCs/>
          <w:sz w:val="21"/>
          <w:szCs w:val="21"/>
        </w:rPr>
      </w:pPr>
      <w:r>
        <w:rPr>
          <w:rFonts w:hint="eastAsia" w:ascii="宋体" w:hAnsi="宋体" w:eastAsia="宋体"/>
          <w:b/>
          <w:bCs/>
          <w:sz w:val="21"/>
          <w:szCs w:val="21"/>
        </w:rPr>
        <w:t>第一条  产品名称、品种规格、价格、数量</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甲方自合同约定时间起，按下表所列产品、规格及价格向乙方供应骨料产品：</w:t>
      </w:r>
    </w:p>
    <w:tbl>
      <w:tblPr>
        <w:tblStyle w:val="5"/>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607"/>
        <w:gridCol w:w="1554"/>
        <w:gridCol w:w="856"/>
        <w:gridCol w:w="1455"/>
        <w:gridCol w:w="147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6"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产品名称</w:t>
            </w:r>
          </w:p>
        </w:tc>
        <w:tc>
          <w:tcPr>
            <w:tcW w:w="1607"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产品规格</w:t>
            </w:r>
          </w:p>
        </w:tc>
        <w:tc>
          <w:tcPr>
            <w:tcW w:w="1554"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不含税结算价</w:t>
            </w:r>
          </w:p>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（元/吨）</w:t>
            </w:r>
          </w:p>
        </w:tc>
        <w:tc>
          <w:tcPr>
            <w:tcW w:w="856"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税率</w:t>
            </w:r>
          </w:p>
        </w:tc>
        <w:tc>
          <w:tcPr>
            <w:tcW w:w="1455"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含税结算价（元/吨）</w:t>
            </w:r>
          </w:p>
        </w:tc>
        <w:tc>
          <w:tcPr>
            <w:tcW w:w="1474"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交货方式</w:t>
            </w:r>
          </w:p>
        </w:tc>
        <w:tc>
          <w:tcPr>
            <w:tcW w:w="1283"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计划提货数量（吨）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6"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毛石（花岗岩）</w:t>
            </w:r>
          </w:p>
        </w:tc>
        <w:tc>
          <w:tcPr>
            <w:tcW w:w="1607"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≤80cm</w:t>
            </w:r>
          </w:p>
        </w:tc>
        <w:tc>
          <w:tcPr>
            <w:tcW w:w="1554"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 xml:space="preserve"> </w:t>
            </w:r>
          </w:p>
        </w:tc>
        <w:tc>
          <w:tcPr>
            <w:tcW w:w="856" w:type="dxa"/>
          </w:tcPr>
          <w:p>
            <w:pPr>
              <w:ind w:firstLine="0" w:firstLineChars="0"/>
              <w:jc w:val="center"/>
              <w:rPr>
                <w:rFonts w:ascii="宋体" w:hAnsi="宋体" w:eastAsia="宋体"/>
                <w:sz w:val="21"/>
                <w:szCs w:val="21"/>
              </w:rPr>
            </w:pPr>
            <w:r>
              <w:rPr>
                <w:rFonts w:hint="eastAsia" w:ascii="宋体" w:hAnsi="宋体" w:eastAsia="宋体"/>
                <w:sz w:val="21"/>
                <w:szCs w:val="21"/>
              </w:rPr>
              <w:t>3%</w:t>
            </w:r>
          </w:p>
        </w:tc>
        <w:tc>
          <w:tcPr>
            <w:tcW w:w="1455" w:type="dxa"/>
          </w:tcPr>
          <w:p>
            <w:pPr>
              <w:ind w:firstLine="0" w:firstLineChars="0"/>
              <w:jc w:val="center"/>
              <w:rPr>
                <w:rFonts w:ascii="宋体" w:hAnsi="宋体" w:eastAsia="宋体"/>
                <w:sz w:val="21"/>
                <w:szCs w:val="21"/>
              </w:rPr>
            </w:pPr>
            <w:r>
              <w:rPr>
                <w:rFonts w:hint="eastAsia" w:ascii="宋体" w:hAnsi="宋体" w:eastAsia="宋体"/>
                <w:sz w:val="21"/>
                <w:szCs w:val="21"/>
              </w:rPr>
              <w:t xml:space="preserve"> </w:t>
            </w:r>
          </w:p>
        </w:tc>
        <w:tc>
          <w:tcPr>
            <w:tcW w:w="1474" w:type="dxa"/>
            <w:vAlign w:val="center"/>
          </w:tcPr>
          <w:p>
            <w:pPr>
              <w:ind w:firstLine="0" w:firstLineChars="0"/>
              <w:jc w:val="center"/>
              <w:rPr>
                <w:rFonts w:ascii="宋体" w:hAnsi="宋体" w:eastAsia="宋体"/>
                <w:sz w:val="21"/>
                <w:szCs w:val="21"/>
              </w:rPr>
            </w:pPr>
            <w:r>
              <w:rPr>
                <w:rFonts w:hint="eastAsia" w:ascii="宋体" w:hAnsi="宋体" w:eastAsia="宋体"/>
                <w:sz w:val="21"/>
                <w:szCs w:val="21"/>
              </w:rPr>
              <w:t>汽运自提</w:t>
            </w:r>
          </w:p>
        </w:tc>
        <w:tc>
          <w:tcPr>
            <w:tcW w:w="1283" w:type="dxa"/>
            <w:vAlign w:val="center"/>
          </w:tcPr>
          <w:p>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 xml:space="preserve"> 万</w:t>
            </w:r>
          </w:p>
        </w:tc>
      </w:tr>
    </w:tbl>
    <w:p>
      <w:pPr>
        <w:spacing w:line="276" w:lineRule="auto"/>
        <w:ind w:firstLine="420"/>
        <w:rPr>
          <w:rFonts w:ascii="宋体" w:hAnsi="宋体" w:eastAsia="宋体"/>
          <w:sz w:val="21"/>
          <w:szCs w:val="21"/>
        </w:rPr>
      </w:pPr>
      <w:r>
        <w:rPr>
          <w:rFonts w:hint="eastAsia" w:ascii="宋体" w:hAnsi="宋体" w:eastAsia="宋体"/>
          <w:sz w:val="21"/>
          <w:szCs w:val="21"/>
        </w:rPr>
        <w:t>说明：</w:t>
      </w:r>
    </w:p>
    <w:p>
      <w:pPr>
        <w:adjustRightInd w:val="0"/>
        <w:snapToGrid w:val="0"/>
        <w:spacing w:line="276" w:lineRule="auto"/>
        <w:ind w:firstLine="440"/>
        <w:rPr>
          <w:rFonts w:ascii="宋体" w:hAnsi="宋体" w:eastAsia="宋体"/>
          <w:sz w:val="21"/>
          <w:szCs w:val="21"/>
        </w:rPr>
      </w:pPr>
      <w:r>
        <w:rPr>
          <w:rFonts w:hint="eastAsia" w:ascii="宋体" w:hAnsi="宋体" w:eastAsia="宋体"/>
          <w:sz w:val="22"/>
          <w:szCs w:val="22"/>
        </w:rPr>
        <w:t>1</w:t>
      </w:r>
      <w:r>
        <w:rPr>
          <w:rFonts w:ascii="宋体" w:hAnsi="宋体" w:eastAsia="宋体"/>
          <w:sz w:val="22"/>
          <w:szCs w:val="22"/>
        </w:rPr>
        <w:t>.</w:t>
      </w:r>
      <w:r>
        <w:rPr>
          <w:rFonts w:hint="eastAsia" w:ascii="宋体" w:hAnsi="宋体" w:eastAsia="宋体"/>
          <w:bCs/>
          <w:sz w:val="21"/>
        </w:rPr>
        <w:t>含税结算价</w:t>
      </w:r>
      <w:r>
        <w:rPr>
          <w:rFonts w:hint="eastAsia" w:ascii="宋体" w:hAnsi="宋体" w:eastAsia="宋体"/>
          <w:sz w:val="21"/>
        </w:rPr>
        <w:t>为产品在甲方</w:t>
      </w:r>
      <w:r>
        <w:rPr>
          <w:rFonts w:hint="eastAsia" w:ascii="宋体" w:hAnsi="宋体" w:eastAsia="宋体"/>
          <w:sz w:val="21"/>
          <w:u w:val="single"/>
        </w:rPr>
        <w:t>生产厂自提</w:t>
      </w:r>
      <w:r>
        <w:rPr>
          <w:rFonts w:hint="eastAsia" w:ascii="宋体" w:hAnsi="宋体" w:eastAsia="宋体"/>
          <w:sz w:val="21"/>
        </w:rPr>
        <w:t>的现金交货价格。</w:t>
      </w:r>
    </w:p>
    <w:p>
      <w:pPr>
        <w:numPr>
          <w:ilvl w:val="0"/>
          <w:numId w:val="1"/>
        </w:num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乙方应于每月</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日前，以书面形式通知甲方下一月度骨料（包括毛石）产品需求计划，以便甲方组织生产。如</w:t>
      </w:r>
      <w:r>
        <w:rPr>
          <w:rFonts w:ascii="宋体" w:hAnsi="宋体" w:eastAsia="宋体"/>
          <w:sz w:val="21"/>
          <w:szCs w:val="21"/>
        </w:rPr>
        <w:t>遇</w:t>
      </w:r>
      <w:r>
        <w:rPr>
          <w:rFonts w:hint="eastAsia" w:ascii="宋体" w:hAnsi="宋体" w:eastAsia="宋体"/>
          <w:sz w:val="21"/>
          <w:szCs w:val="21"/>
        </w:rPr>
        <w:t>不可抗力因素（指受诸如战争、严重的火灾、台风、地震、洪水、停限电、政府原因以及任何其他不能预见、不能避免且不能克服的事件）或甲方工厂设备检修、故障等</w:t>
      </w:r>
      <w:r>
        <w:rPr>
          <w:rFonts w:ascii="宋体" w:hAnsi="宋体" w:eastAsia="宋体"/>
          <w:sz w:val="21"/>
          <w:szCs w:val="21"/>
        </w:rPr>
        <w:t>情形</w:t>
      </w:r>
      <w:r>
        <w:rPr>
          <w:rFonts w:hint="eastAsia" w:ascii="宋体" w:hAnsi="宋体" w:eastAsia="宋体"/>
          <w:sz w:val="21"/>
          <w:szCs w:val="21"/>
        </w:rPr>
        <w:t>，</w:t>
      </w:r>
      <w:r>
        <w:rPr>
          <w:rFonts w:hint="eastAsia" w:ascii="宋体" w:hAnsi="宋体" w:eastAsia="宋体"/>
          <w:sz w:val="22"/>
          <w:szCs w:val="22"/>
        </w:rPr>
        <w:t>甲方应提前正式书面通知乙方，避免因此产生损失</w:t>
      </w:r>
      <w:r>
        <w:rPr>
          <w:rFonts w:hint="eastAsia" w:ascii="宋体" w:hAnsi="宋体" w:eastAsia="宋体"/>
          <w:sz w:val="21"/>
          <w:szCs w:val="21"/>
        </w:rPr>
        <w:t>。</w:t>
      </w:r>
    </w:p>
    <w:p>
      <w:pPr>
        <w:pStyle w:val="2"/>
        <w:numPr>
          <w:ilvl w:val="0"/>
          <w:numId w:val="1"/>
        </w:numPr>
        <w:ind w:firstLine="440"/>
      </w:pPr>
      <w:r>
        <w:rPr>
          <w:rFonts w:hint="eastAsia" w:hAnsi="宋体" w:eastAsia="宋体"/>
          <w:sz w:val="22"/>
          <w:szCs w:val="22"/>
        </w:rPr>
        <w:t>双方共同约定最低供货量为</w:t>
      </w:r>
      <w:r>
        <w:rPr>
          <w:rFonts w:hint="eastAsia" w:hAnsi="宋体" w:eastAsia="宋体"/>
          <w:sz w:val="22"/>
          <w:szCs w:val="22"/>
          <w:u w:val="single"/>
        </w:rPr>
        <w:t xml:space="preserve">   万</w:t>
      </w:r>
      <w:r>
        <w:rPr>
          <w:rFonts w:hint="eastAsia" w:hAnsi="宋体" w:eastAsia="宋体"/>
          <w:sz w:val="22"/>
          <w:szCs w:val="22"/>
        </w:rPr>
        <w:t>吨/月，最低提货量为</w:t>
      </w:r>
      <w:r>
        <w:rPr>
          <w:rFonts w:hint="eastAsia" w:hAnsi="宋体" w:eastAsia="宋体"/>
          <w:sz w:val="22"/>
          <w:szCs w:val="22"/>
          <w:u w:val="single"/>
        </w:rPr>
        <w:t xml:space="preserve">   万</w:t>
      </w:r>
      <w:r>
        <w:rPr>
          <w:rFonts w:hint="eastAsia" w:hAnsi="宋体" w:eastAsia="宋体"/>
          <w:sz w:val="22"/>
          <w:szCs w:val="22"/>
        </w:rPr>
        <w:t>吨/月（不包括供、提货首月）。</w:t>
      </w:r>
    </w:p>
    <w:p>
      <w:pPr>
        <w:adjustRightInd w:val="0"/>
        <w:snapToGrid w:val="0"/>
        <w:spacing w:line="276" w:lineRule="auto"/>
        <w:ind w:firstLine="420" w:firstLineChars="0"/>
        <w:rPr>
          <w:rFonts w:ascii="宋体" w:hAnsi="宋体" w:eastAsia="宋体"/>
          <w:b/>
          <w:bCs/>
          <w:sz w:val="21"/>
          <w:szCs w:val="21"/>
        </w:rPr>
      </w:pPr>
      <w:r>
        <w:rPr>
          <w:rFonts w:hint="eastAsia" w:ascii="宋体" w:hAnsi="宋体" w:eastAsia="宋体"/>
          <w:b/>
          <w:bCs/>
          <w:sz w:val="21"/>
          <w:szCs w:val="21"/>
        </w:rPr>
        <w:t>第二条  质量要求</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甲方供应的产品质量需遵照</w:t>
      </w:r>
      <w:r>
        <w:rPr>
          <w:rFonts w:ascii="宋体" w:hAnsi="宋体" w:eastAsia="宋体"/>
          <w:sz w:val="21"/>
          <w:szCs w:val="21"/>
        </w:rPr>
        <w:t>GB/T 14685-20</w:t>
      </w:r>
      <w:r>
        <w:rPr>
          <w:rFonts w:hint="eastAsia" w:ascii="宋体" w:hAnsi="宋体" w:eastAsia="宋体"/>
          <w:sz w:val="21"/>
          <w:szCs w:val="21"/>
        </w:rPr>
        <w:t>22</w:t>
      </w:r>
      <w:r>
        <w:rPr>
          <w:rFonts w:ascii="宋体" w:hAnsi="宋体" w:eastAsia="宋体"/>
          <w:sz w:val="21"/>
          <w:szCs w:val="21"/>
        </w:rPr>
        <w:t>、GB/T 14684-20</w:t>
      </w:r>
      <w:r>
        <w:rPr>
          <w:rFonts w:hint="eastAsia" w:ascii="宋体" w:hAnsi="宋体" w:eastAsia="宋体"/>
          <w:sz w:val="21"/>
          <w:szCs w:val="21"/>
        </w:rPr>
        <w:t>22等国家标准执行，合同履行过程中如有颁布最新标准，则按最新标准执行。</w:t>
      </w:r>
    </w:p>
    <w:p>
      <w:pPr>
        <w:adjustRightInd w:val="0"/>
        <w:snapToGrid w:val="0"/>
        <w:spacing w:line="276" w:lineRule="auto"/>
        <w:ind w:firstLine="422"/>
        <w:rPr>
          <w:rFonts w:ascii="宋体" w:hAnsi="宋体" w:eastAsia="宋体"/>
          <w:sz w:val="21"/>
          <w:szCs w:val="21"/>
        </w:rPr>
      </w:pPr>
      <w:r>
        <w:rPr>
          <w:rFonts w:hint="eastAsia" w:ascii="宋体" w:hAnsi="宋体" w:eastAsia="宋体"/>
          <w:b/>
          <w:bCs/>
          <w:sz w:val="21"/>
          <w:szCs w:val="21"/>
        </w:rPr>
        <w:t>第三条  交货时间、交货地点、交货方式、货物签收及运杂费结算</w:t>
      </w:r>
    </w:p>
    <w:p>
      <w:pPr>
        <w:adjustRightInd w:val="0"/>
        <w:snapToGrid w:val="0"/>
        <w:spacing w:line="276" w:lineRule="auto"/>
        <w:ind w:firstLine="420"/>
        <w:rPr>
          <w:rFonts w:ascii="宋体" w:hAnsi="宋体" w:eastAsia="宋体"/>
          <w:sz w:val="21"/>
          <w:szCs w:val="21"/>
          <w:u w:val="single"/>
        </w:rPr>
      </w:pPr>
      <w:r>
        <w:rPr>
          <w:rFonts w:hint="eastAsia" w:ascii="宋体" w:hAnsi="宋体" w:eastAsia="宋体"/>
          <w:sz w:val="21"/>
          <w:szCs w:val="21"/>
        </w:rPr>
        <w:t>1、交货时间：甲方于2024年  月  日前开始交货</w:t>
      </w:r>
      <w:r>
        <w:rPr>
          <w:rFonts w:hint="eastAsia" w:ascii="宋体" w:hAnsi="宋体" w:eastAsia="宋体"/>
          <w:sz w:val="21"/>
          <w:szCs w:val="21"/>
          <w:lang w:eastAsia="zh-CN"/>
        </w:rPr>
        <w:t>（</w:t>
      </w:r>
      <w:r>
        <w:rPr>
          <w:rFonts w:hint="eastAsia" w:ascii="宋体" w:hAnsi="宋体" w:eastAsia="宋体"/>
          <w:sz w:val="21"/>
          <w:szCs w:val="21"/>
          <w:lang w:val="en-US" w:eastAsia="zh-CN"/>
        </w:rPr>
        <w:t>合同签订后三个月内</w:t>
      </w:r>
      <w:r>
        <w:rPr>
          <w:rFonts w:hint="eastAsia" w:ascii="宋体" w:hAnsi="宋体" w:eastAsia="宋体"/>
          <w:sz w:val="21"/>
          <w:szCs w:val="21"/>
          <w:lang w:eastAsia="zh-CN"/>
        </w:rPr>
        <w:t>）</w:t>
      </w:r>
      <w:r>
        <w:rPr>
          <w:rFonts w:hint="eastAsia" w:ascii="宋体" w:hAnsi="宋体" w:eastAsia="宋体"/>
          <w:sz w:val="21"/>
          <w:szCs w:val="21"/>
        </w:rPr>
        <w:t>。</w:t>
      </w:r>
    </w:p>
    <w:p>
      <w:pPr>
        <w:adjustRightInd w:val="0"/>
        <w:snapToGrid w:val="0"/>
        <w:spacing w:line="276" w:lineRule="auto"/>
        <w:ind w:firstLine="420"/>
        <w:outlineLvl w:val="0"/>
        <w:rPr>
          <w:rFonts w:ascii="宋体" w:hAnsi="宋体" w:eastAsia="宋体"/>
          <w:sz w:val="21"/>
          <w:szCs w:val="21"/>
        </w:rPr>
      </w:pPr>
      <w:r>
        <w:rPr>
          <w:rFonts w:hint="eastAsia" w:ascii="宋体" w:hAnsi="宋体" w:eastAsia="宋体"/>
          <w:sz w:val="21"/>
          <w:szCs w:val="21"/>
        </w:rPr>
        <w:t>2、交货方式及地点</w:t>
      </w:r>
    </w:p>
    <w:p>
      <w:pPr>
        <w:adjustRightInd w:val="0"/>
        <w:snapToGrid w:val="0"/>
        <w:spacing w:line="276" w:lineRule="auto"/>
        <w:ind w:firstLine="420"/>
        <w:outlineLvl w:val="0"/>
        <w:rPr>
          <w:rFonts w:ascii="宋体" w:hAnsi="宋体" w:eastAsia="宋体"/>
          <w:sz w:val="21"/>
          <w:szCs w:val="21"/>
          <w:u w:val="single"/>
        </w:rPr>
      </w:pPr>
      <w:r>
        <w:rPr>
          <w:rFonts w:hint="eastAsia" w:ascii="宋体" w:hAnsi="宋体" w:eastAsia="宋体"/>
          <w:sz w:val="21"/>
          <w:szCs w:val="21"/>
        </w:rPr>
        <w:t>乙方自提：乙方自行安排运输工具提货，运杂费由乙方承担，交货地点为</w:t>
      </w:r>
      <w:r>
        <w:rPr>
          <w:rFonts w:hint="eastAsia" w:ascii="宋体" w:hAnsi="宋体" w:eastAsia="宋体"/>
          <w:sz w:val="21"/>
          <w:szCs w:val="21"/>
          <w:u w:val="single"/>
        </w:rPr>
        <w:t xml:space="preserve"> 屯昌县大月岭花岗岩项目加工区（X381县道北侧）  </w:t>
      </w:r>
      <w:r>
        <w:rPr>
          <w:rFonts w:hint="eastAsia" w:ascii="宋体" w:hAnsi="宋体" w:eastAsia="宋体"/>
          <w:sz w:val="21"/>
          <w:szCs w:val="21"/>
        </w:rPr>
        <w:t>。</w:t>
      </w:r>
    </w:p>
    <w:p>
      <w:pPr>
        <w:adjustRightInd w:val="0"/>
        <w:snapToGrid w:val="0"/>
        <w:spacing w:line="276" w:lineRule="auto"/>
        <w:ind w:firstLine="420"/>
        <w:outlineLvl w:val="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货物签收：本合同签订后首次交货前，乙方应向甲方提供代表乙方签收货物的人员的书面授权书（加盖乙方公章），内容包括签收人员的姓名、身份证复印件、联系电话及签名样本等。交货时由乙方授权的签收人员代表乙方履行产品签收手续。合同期间，乙方签收人员若发生变更，乙方应提前3日书面通知甲方并经甲方书面确认，否则，由此引起的一切损失及责任，由乙方自行承担。</w:t>
      </w:r>
    </w:p>
    <w:p>
      <w:pPr>
        <w:adjustRightInd w:val="0"/>
        <w:snapToGrid w:val="0"/>
        <w:spacing w:line="276" w:lineRule="auto"/>
        <w:ind w:firstLine="413" w:firstLineChars="196"/>
        <w:outlineLvl w:val="0"/>
        <w:rPr>
          <w:rFonts w:ascii="宋体" w:hAnsi="宋体" w:eastAsia="宋体"/>
          <w:b/>
          <w:bCs/>
          <w:sz w:val="21"/>
          <w:szCs w:val="21"/>
        </w:rPr>
      </w:pPr>
      <w:r>
        <w:rPr>
          <w:rFonts w:hint="eastAsia" w:ascii="宋体" w:hAnsi="宋体" w:eastAsia="宋体"/>
          <w:b/>
          <w:bCs/>
          <w:sz w:val="21"/>
          <w:szCs w:val="21"/>
        </w:rPr>
        <w:t>第四条  计量标准</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以甲方过磅数量为准（地磅须经法定计量检测机构认可），合理损耗按</w:t>
      </w:r>
      <w:r>
        <w:rPr>
          <w:rFonts w:hint="eastAsia" w:ascii="宋体" w:hAnsi="宋体" w:eastAsia="宋体" w:cs="宋体"/>
          <w:sz w:val="21"/>
          <w:szCs w:val="21"/>
          <w:u w:val="single"/>
        </w:rPr>
        <w:t>±3‰</w:t>
      </w:r>
      <w:r>
        <w:rPr>
          <w:rFonts w:hint="eastAsia" w:ascii="宋体" w:hAnsi="宋体" w:eastAsia="宋体"/>
          <w:sz w:val="21"/>
          <w:szCs w:val="21"/>
          <w:u w:val="single"/>
        </w:rPr>
        <w:t xml:space="preserve"> </w:t>
      </w:r>
      <w:r>
        <w:rPr>
          <w:rFonts w:hint="eastAsia" w:ascii="宋体" w:hAnsi="宋体" w:eastAsia="宋体"/>
          <w:sz w:val="21"/>
          <w:szCs w:val="21"/>
        </w:rPr>
        <w:t>的标准执行。乙方可抽检复磅（地磅须经法定计量检测机构认可），若乙方抽检结果与甲方提供的过磅数量磅差值在</w:t>
      </w:r>
      <w:r>
        <w:rPr>
          <w:rFonts w:hint="eastAsia" w:ascii="宋体" w:hAnsi="宋体" w:eastAsia="宋体" w:cs="宋体"/>
          <w:sz w:val="21"/>
          <w:szCs w:val="21"/>
          <w:u w:val="single"/>
        </w:rPr>
        <w:t>±3‰</w:t>
      </w:r>
      <w:r>
        <w:rPr>
          <w:rFonts w:hint="eastAsia" w:ascii="宋体" w:hAnsi="宋体" w:eastAsia="宋体"/>
          <w:sz w:val="21"/>
          <w:szCs w:val="21"/>
          <w:u w:val="single"/>
        </w:rPr>
        <w:t xml:space="preserve"> </w:t>
      </w:r>
      <w:r>
        <w:rPr>
          <w:rFonts w:hint="eastAsia" w:ascii="宋体" w:hAnsi="宋体" w:eastAsia="宋体"/>
          <w:sz w:val="21"/>
          <w:szCs w:val="21"/>
        </w:rPr>
        <w:t>以内，甲、乙双方同意属于正常，该批货物结算数量以甲方过磅单数量为准，复磅费用由乙方承担；若甲、乙双方磅负差超过</w:t>
      </w:r>
      <w:r>
        <w:rPr>
          <w:rFonts w:hint="eastAsia" w:ascii="宋体" w:hAnsi="宋体" w:eastAsia="宋体" w:cs="宋体"/>
          <w:sz w:val="21"/>
          <w:szCs w:val="21"/>
          <w:u w:val="single"/>
        </w:rPr>
        <w:t>3‰</w:t>
      </w:r>
      <w:r>
        <w:rPr>
          <w:rFonts w:hint="eastAsia" w:ascii="宋体" w:hAnsi="宋体" w:eastAsia="宋体"/>
          <w:sz w:val="21"/>
          <w:szCs w:val="21"/>
          <w:u w:val="single"/>
        </w:rPr>
        <w:t xml:space="preserve"> </w:t>
      </w:r>
      <w:r>
        <w:rPr>
          <w:rFonts w:hint="eastAsia" w:ascii="宋体" w:hAnsi="宋体" w:eastAsia="宋体"/>
          <w:sz w:val="21"/>
          <w:szCs w:val="21"/>
        </w:rPr>
        <w:t>，则可经双方认可的第三方地磅进行复核（第三方地磅须经法定计量检测机构认可），该批货物结算数量以与</w:t>
      </w:r>
      <w:r>
        <w:rPr>
          <w:rFonts w:ascii="宋体" w:hAnsi="宋体" w:eastAsia="宋体"/>
          <w:sz w:val="21"/>
          <w:szCs w:val="21"/>
        </w:rPr>
        <w:t>第三方复磅</w:t>
      </w:r>
      <w:r>
        <w:rPr>
          <w:rFonts w:hint="eastAsia" w:ascii="宋体" w:hAnsi="宋体" w:eastAsia="宋体"/>
          <w:sz w:val="21"/>
          <w:szCs w:val="21"/>
        </w:rPr>
        <w:t>误差量小的</w:t>
      </w:r>
      <w:r>
        <w:rPr>
          <w:rFonts w:ascii="宋体" w:hAnsi="宋体" w:eastAsia="宋体"/>
          <w:sz w:val="21"/>
          <w:szCs w:val="21"/>
        </w:rPr>
        <w:t>一方</w:t>
      </w:r>
      <w:r>
        <w:rPr>
          <w:rFonts w:hint="eastAsia" w:ascii="宋体" w:hAnsi="宋体" w:eastAsia="宋体"/>
          <w:sz w:val="21"/>
          <w:szCs w:val="21"/>
        </w:rPr>
        <w:t>过磅数量为准，复磅费用由误差量大的一方承担。乙方抽检复磅须在签收产品时书面提出并当场检验。</w:t>
      </w:r>
    </w:p>
    <w:p>
      <w:pPr>
        <w:adjustRightInd w:val="0"/>
        <w:snapToGrid w:val="0"/>
        <w:spacing w:line="276" w:lineRule="auto"/>
        <w:ind w:firstLine="422"/>
        <w:outlineLvl w:val="0"/>
        <w:rPr>
          <w:rFonts w:ascii="宋体" w:hAnsi="宋体" w:eastAsia="宋体"/>
          <w:sz w:val="21"/>
          <w:szCs w:val="21"/>
        </w:rPr>
      </w:pPr>
      <w:r>
        <w:rPr>
          <w:rFonts w:hint="eastAsia" w:ascii="宋体" w:hAnsi="宋体" w:eastAsia="宋体"/>
          <w:b/>
          <w:bCs/>
          <w:sz w:val="21"/>
          <w:szCs w:val="21"/>
        </w:rPr>
        <w:t>第五条  验收标准</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产品的质量验收以甲方生产厂同批次产品的检验报告为依据</w:t>
      </w:r>
      <w:r>
        <w:rPr>
          <w:rFonts w:hint="eastAsia" w:ascii="宋体" w:hAnsi="宋体" w:eastAsia="宋体" w:cs="宋体"/>
          <w:sz w:val="21"/>
          <w:szCs w:val="21"/>
        </w:rPr>
        <w:t>。</w:t>
      </w:r>
    </w:p>
    <w:p>
      <w:pPr>
        <w:adjustRightInd w:val="0"/>
        <w:snapToGrid w:val="0"/>
        <w:spacing w:line="276" w:lineRule="auto"/>
        <w:ind w:firstLine="422"/>
        <w:outlineLvl w:val="0"/>
        <w:rPr>
          <w:rFonts w:ascii="宋体" w:hAnsi="宋体" w:eastAsia="宋体"/>
          <w:b/>
          <w:bCs/>
          <w:sz w:val="21"/>
          <w:szCs w:val="21"/>
        </w:rPr>
      </w:pPr>
      <w:r>
        <w:rPr>
          <w:rFonts w:hint="eastAsia" w:ascii="宋体" w:hAnsi="宋体" w:eastAsia="宋体"/>
          <w:b/>
          <w:bCs/>
          <w:sz w:val="21"/>
          <w:szCs w:val="21"/>
        </w:rPr>
        <w:t>第六条  付款及结算方式</w:t>
      </w:r>
    </w:p>
    <w:p>
      <w:pPr>
        <w:adjustRightInd w:val="0"/>
        <w:snapToGrid w:val="0"/>
        <w:spacing w:line="276" w:lineRule="auto"/>
        <w:ind w:firstLine="420"/>
        <w:rPr>
          <w:rFonts w:hint="eastAsia" w:ascii="宋体" w:hAnsi="宋体" w:eastAsia="宋体"/>
          <w:sz w:val="21"/>
          <w:szCs w:val="21"/>
          <w:lang w:eastAsia="zh-CN"/>
        </w:rPr>
      </w:pPr>
      <w:r>
        <w:rPr>
          <w:rFonts w:hint="eastAsia" w:ascii="宋体" w:hAnsi="宋体" w:eastAsia="宋体"/>
          <w:sz w:val="21"/>
          <w:szCs w:val="21"/>
        </w:rPr>
        <w:t>1、本合同甲方共计向乙方出售毛石_</w:t>
      </w:r>
      <w:r>
        <w:rPr>
          <w:rFonts w:hint="eastAsia" w:ascii="宋体" w:hAnsi="宋体" w:eastAsia="宋体"/>
          <w:sz w:val="21"/>
          <w:szCs w:val="21"/>
          <w:u w:val="single"/>
          <w:lang w:val="en-US" w:eastAsia="zh-CN"/>
        </w:rPr>
        <w:t>3</w:t>
      </w:r>
      <w:r>
        <w:rPr>
          <w:rFonts w:hint="eastAsia" w:ascii="宋体" w:hAnsi="宋体" w:eastAsia="宋体"/>
          <w:sz w:val="21"/>
          <w:szCs w:val="21"/>
          <w:u w:val="single"/>
        </w:rPr>
        <w:t>00</w:t>
      </w:r>
      <w:r>
        <w:rPr>
          <w:rFonts w:hint="eastAsia" w:ascii="宋体" w:hAnsi="宋体" w:eastAsia="宋体"/>
          <w:sz w:val="21"/>
          <w:szCs w:val="21"/>
        </w:rPr>
        <w:t>_万吨，每吨单价为￥_______元，共计￥</w:t>
      </w:r>
      <w:r>
        <w:rPr>
          <w:rFonts w:hint="eastAsia" w:ascii="宋体" w:hAnsi="宋体" w:eastAsia="宋体"/>
          <w:sz w:val="21"/>
          <w:szCs w:val="21"/>
          <w:u w:val="single"/>
        </w:rPr>
        <w:t xml:space="preserve">       </w:t>
      </w:r>
      <w:r>
        <w:rPr>
          <w:rFonts w:hint="eastAsia" w:ascii="宋体" w:hAnsi="宋体" w:eastAsia="宋体"/>
          <w:sz w:val="21"/>
          <w:szCs w:val="21"/>
        </w:rPr>
        <w:t>元（大写：人民币</w:t>
      </w:r>
      <w:r>
        <w:rPr>
          <w:rFonts w:hint="eastAsia" w:ascii="宋体" w:hAnsi="宋体" w:eastAsia="宋体"/>
          <w:sz w:val="21"/>
          <w:szCs w:val="21"/>
          <w:u w:val="single"/>
        </w:rPr>
        <w:t xml:space="preserve">   </w:t>
      </w:r>
      <w:r>
        <w:rPr>
          <w:rFonts w:hint="eastAsia" w:ascii="宋体" w:hAnsi="宋体" w:eastAsia="宋体"/>
          <w:sz w:val="21"/>
          <w:szCs w:val="21"/>
        </w:rPr>
        <w:t>整）</w:t>
      </w:r>
      <w:r>
        <w:rPr>
          <w:rFonts w:hint="eastAsia" w:ascii="宋体" w:hAnsi="宋体" w:eastAsia="宋体"/>
          <w:sz w:val="21"/>
          <w:szCs w:val="21"/>
          <w:lang w:eastAsia="zh-CN"/>
        </w:rPr>
        <w:t>，</w:t>
      </w:r>
      <w:r>
        <w:rPr>
          <w:rFonts w:hint="eastAsia" w:ascii="宋体" w:hAnsi="宋体" w:eastAsia="宋体"/>
          <w:sz w:val="21"/>
          <w:szCs w:val="21"/>
        </w:rPr>
        <w:t>不含增值税价款</w:t>
      </w:r>
      <w:r>
        <w:rPr>
          <w:rFonts w:hint="eastAsia" w:ascii="宋体" w:hAnsi="宋体" w:eastAsia="宋体"/>
          <w:sz w:val="21"/>
          <w:szCs w:val="21"/>
          <w:u w:val="single"/>
          <w:lang w:val="en-US" w:eastAsia="zh-CN"/>
        </w:rPr>
        <w:t xml:space="preserve">    </w:t>
      </w:r>
      <w:r>
        <w:rPr>
          <w:rFonts w:hint="eastAsia" w:ascii="宋体" w:hAnsi="宋体" w:eastAsia="宋体"/>
          <w:sz w:val="21"/>
          <w:szCs w:val="21"/>
        </w:rPr>
        <w:t>元，增值税税额</w:t>
      </w:r>
      <w:r>
        <w:rPr>
          <w:rFonts w:hint="eastAsia" w:ascii="宋体" w:hAnsi="宋体" w:eastAsia="宋体"/>
          <w:sz w:val="21"/>
          <w:szCs w:val="21"/>
          <w:u w:val="single"/>
          <w:lang w:val="en-US" w:eastAsia="zh-CN"/>
        </w:rPr>
        <w:t xml:space="preserve">    </w:t>
      </w:r>
      <w:r>
        <w:rPr>
          <w:rFonts w:hint="eastAsia" w:ascii="宋体" w:hAnsi="宋体" w:eastAsia="宋体"/>
          <w:sz w:val="21"/>
          <w:szCs w:val="21"/>
        </w:rPr>
        <w:t>元</w:t>
      </w:r>
      <w:r>
        <w:rPr>
          <w:rFonts w:hint="eastAsia" w:ascii="宋体" w:hAnsi="宋体" w:eastAsia="宋体"/>
          <w:sz w:val="21"/>
          <w:szCs w:val="21"/>
          <w:lang w:eastAsia="zh-CN"/>
        </w:rPr>
        <w:t>。</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2、乙方向甲方预付货款，甲方在确认货款到帐后，根据实际情况安排发货，发货价值不超过预付款金额。否则，甲方有权拒绝发货并不承担任何责任。</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3、本合同约定预付货款为合同总价款的42%，即￥</w:t>
      </w:r>
      <w:r>
        <w:rPr>
          <w:rFonts w:hint="eastAsia" w:ascii="宋体" w:hAnsi="宋体" w:eastAsia="宋体"/>
          <w:sz w:val="21"/>
          <w:szCs w:val="21"/>
          <w:u w:val="single"/>
        </w:rPr>
        <w:t xml:space="preserve">       </w:t>
      </w:r>
      <w:r>
        <w:rPr>
          <w:rFonts w:hint="eastAsia" w:ascii="宋体" w:hAnsi="宋体" w:eastAsia="宋体"/>
          <w:sz w:val="21"/>
          <w:szCs w:val="21"/>
        </w:rPr>
        <w:t>元（大写：人民币</w:t>
      </w:r>
      <w:r>
        <w:rPr>
          <w:rFonts w:hint="eastAsia" w:ascii="宋体" w:hAnsi="宋体" w:eastAsia="宋体"/>
          <w:sz w:val="21"/>
          <w:szCs w:val="21"/>
          <w:u w:val="single"/>
        </w:rPr>
        <w:t xml:space="preserve">   </w:t>
      </w:r>
      <w:r>
        <w:rPr>
          <w:rFonts w:hint="eastAsia" w:ascii="宋体" w:hAnsi="宋体" w:eastAsia="宋体"/>
          <w:sz w:val="21"/>
          <w:szCs w:val="21"/>
        </w:rPr>
        <w:t>整）</w:t>
      </w:r>
      <w:r>
        <w:rPr>
          <w:rFonts w:hint="eastAsia" w:ascii="宋体" w:hAnsi="宋体" w:eastAsia="宋体"/>
          <w:sz w:val="21"/>
          <w:szCs w:val="21"/>
          <w:lang w:eastAsia="zh-CN"/>
        </w:rPr>
        <w:t>，</w:t>
      </w:r>
      <w:bookmarkStart w:id="0" w:name="_GoBack"/>
      <w:bookmarkEnd w:id="0"/>
      <w:r>
        <w:rPr>
          <w:rFonts w:hint="eastAsia" w:ascii="宋体" w:hAnsi="宋体" w:eastAsia="宋体"/>
          <w:sz w:val="21"/>
          <w:szCs w:val="21"/>
          <w:lang w:val="en-US" w:eastAsia="zh-CN"/>
        </w:rPr>
        <w:t>成交确认后10个自然日内签订本合同并支付剩余预付款项</w:t>
      </w:r>
      <w:r>
        <w:rPr>
          <w:rFonts w:hint="eastAsia" w:ascii="宋体" w:hAnsi="宋体" w:eastAsia="宋体"/>
          <w:sz w:val="21"/>
          <w:szCs w:val="21"/>
        </w:rPr>
        <w:t>。</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4、合同期间，双方采用</w:t>
      </w:r>
      <w:r>
        <w:rPr>
          <w:rFonts w:hint="eastAsia" w:ascii="宋体" w:hAnsi="宋体" w:eastAsia="宋体"/>
          <w:sz w:val="21"/>
          <w:szCs w:val="21"/>
          <w:u w:val="single"/>
        </w:rPr>
        <w:t xml:space="preserve"> B 种方式</w:t>
      </w:r>
      <w:r>
        <w:rPr>
          <w:rFonts w:hint="eastAsia" w:ascii="宋体" w:hAnsi="宋体" w:eastAsia="宋体"/>
          <w:sz w:val="21"/>
          <w:szCs w:val="21"/>
        </w:rPr>
        <w:t>进行结算。</w:t>
      </w:r>
    </w:p>
    <w:p>
      <w:pPr>
        <w:adjustRightInd w:val="0"/>
        <w:snapToGrid w:val="0"/>
        <w:spacing w:line="276" w:lineRule="auto"/>
        <w:ind w:firstLine="420"/>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、以自然月为结算周期，每月</w:t>
      </w:r>
      <w:r>
        <w:rPr>
          <w:rFonts w:hint="eastAsia" w:ascii="宋体" w:hAnsi="宋体" w:eastAsia="宋体"/>
          <w:sz w:val="21"/>
          <w:szCs w:val="21"/>
          <w:u w:val="single"/>
        </w:rPr>
        <w:t xml:space="preserve"> 最后一日 </w:t>
      </w:r>
      <w:r>
        <w:rPr>
          <w:rFonts w:hint="eastAsia" w:ascii="宋体" w:hAnsi="宋体" w:eastAsia="宋体"/>
          <w:sz w:val="21"/>
          <w:szCs w:val="21"/>
        </w:rPr>
        <w:t>为结算截止日，每月</w:t>
      </w:r>
      <w:r>
        <w:rPr>
          <w:rFonts w:hint="eastAsia" w:ascii="宋体" w:hAnsi="宋体" w:eastAsia="宋体"/>
          <w:sz w:val="21"/>
          <w:szCs w:val="21"/>
          <w:u w:val="single"/>
        </w:rPr>
        <w:t xml:space="preserve"> </w:t>
      </w:r>
      <w:r>
        <w:rPr>
          <w:rFonts w:ascii="宋体" w:hAnsi="宋体" w:eastAsia="宋体"/>
          <w:sz w:val="21"/>
          <w:szCs w:val="21"/>
          <w:u w:val="single"/>
        </w:rPr>
        <w:t>5</w:t>
      </w:r>
      <w:r>
        <w:rPr>
          <w:rFonts w:hint="eastAsia" w:ascii="宋体" w:hAnsi="宋体" w:eastAsia="宋体"/>
          <w:sz w:val="21"/>
          <w:szCs w:val="21"/>
          <w:u w:val="single"/>
        </w:rPr>
        <w:t xml:space="preserve"> </w:t>
      </w:r>
      <w:r>
        <w:rPr>
          <w:rFonts w:hint="eastAsia" w:ascii="宋体" w:hAnsi="宋体" w:eastAsia="宋体"/>
          <w:sz w:val="21"/>
          <w:szCs w:val="21"/>
        </w:rPr>
        <w:t>日前双方核对甲方系统出具的对账单完成上月实际交易的数量及金额的结算。</w:t>
      </w:r>
    </w:p>
    <w:p>
      <w:pPr>
        <w:adjustRightInd w:val="0"/>
        <w:snapToGrid w:val="0"/>
        <w:spacing w:line="276" w:lineRule="auto"/>
        <w:ind w:firstLine="420"/>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、每月</w:t>
      </w:r>
      <w:r>
        <w:rPr>
          <w:rFonts w:hint="eastAsia" w:ascii="宋体" w:hAnsi="宋体" w:eastAsia="宋体"/>
          <w:sz w:val="21"/>
          <w:szCs w:val="21"/>
          <w:u w:val="single"/>
        </w:rPr>
        <w:t xml:space="preserve"> 最后一 </w:t>
      </w:r>
      <w:r>
        <w:rPr>
          <w:rFonts w:hint="eastAsia" w:ascii="宋体" w:hAnsi="宋体" w:eastAsia="宋体"/>
          <w:sz w:val="21"/>
          <w:szCs w:val="21"/>
        </w:rPr>
        <w:t>日为结算截止日，即本月</w:t>
      </w:r>
      <w:r>
        <w:rPr>
          <w:rFonts w:hint="eastAsia" w:ascii="宋体" w:hAnsi="宋体" w:eastAsia="宋体"/>
          <w:sz w:val="21"/>
          <w:szCs w:val="21"/>
          <w:u w:val="single"/>
        </w:rPr>
        <w:t xml:space="preserve"> 1 </w:t>
      </w:r>
      <w:r>
        <w:rPr>
          <w:rFonts w:hint="eastAsia" w:ascii="宋体" w:hAnsi="宋体" w:eastAsia="宋体"/>
          <w:sz w:val="21"/>
          <w:szCs w:val="21"/>
        </w:rPr>
        <w:t>日至本月</w:t>
      </w:r>
      <w:r>
        <w:rPr>
          <w:rFonts w:hint="eastAsia" w:ascii="宋体" w:hAnsi="宋体" w:eastAsia="宋体"/>
          <w:sz w:val="21"/>
          <w:szCs w:val="21"/>
          <w:u w:val="single"/>
        </w:rPr>
        <w:t xml:space="preserve"> 最后一 </w:t>
      </w:r>
      <w:r>
        <w:rPr>
          <w:rFonts w:hint="eastAsia" w:ascii="宋体" w:hAnsi="宋体" w:eastAsia="宋体"/>
          <w:sz w:val="21"/>
          <w:szCs w:val="21"/>
        </w:rPr>
        <w:t>日为一个结算周期，次月</w:t>
      </w:r>
      <w:r>
        <w:rPr>
          <w:rFonts w:ascii="宋体" w:hAnsi="宋体" w:eastAsia="宋体"/>
          <w:sz w:val="21"/>
          <w:szCs w:val="21"/>
          <w:u w:val="single"/>
        </w:rPr>
        <w:t xml:space="preserve"> </w:t>
      </w:r>
      <w:r>
        <w:rPr>
          <w:rFonts w:hint="eastAsia" w:ascii="宋体" w:hAnsi="宋体" w:eastAsia="宋体"/>
          <w:sz w:val="21"/>
          <w:szCs w:val="21"/>
          <w:u w:val="single"/>
        </w:rPr>
        <w:t>10</w:t>
      </w:r>
      <w:r>
        <w:rPr>
          <w:rFonts w:ascii="宋体" w:hAnsi="宋体" w:eastAsia="宋体"/>
          <w:sz w:val="21"/>
          <w:szCs w:val="21"/>
          <w:u w:val="single"/>
        </w:rPr>
        <w:t xml:space="preserve"> </w:t>
      </w:r>
      <w:r>
        <w:rPr>
          <w:rFonts w:hint="eastAsia" w:ascii="宋体" w:hAnsi="宋体" w:eastAsia="宋体"/>
          <w:sz w:val="21"/>
          <w:szCs w:val="21"/>
        </w:rPr>
        <w:t>日前双方核对甲方系统出具的对账单完成上一结算周期内实际交易的数量及金额的结算。</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5、当剩余预付货款金额低于   万元且已提货量未达到锁定产品量，乙方明确需续约继续提货时，乙方需补充预付货款   万元，合同继续履行。若乙方预付款金额低于   万元，甲方停止供货。甲方通知乙方，且在通知之日起   个日历天内未补充预付款，本合同终止。剩余预付金额甲方于30个日历天内无息退还。</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6、合同履行完毕后，若乙方预付款仍有剩余且不再继续续约，甲方于最终结算完毕后30日内无息退还。</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7、乙方使用银行转账方式预付货款：</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若乙方委托第三方付款或接受第三方代其付款，则须向甲方提供由付款委托、受托双方共同签字盖章确认的书面委托证明。</w:t>
      </w:r>
    </w:p>
    <w:p>
      <w:pPr>
        <w:adjustRightInd w:val="0"/>
        <w:snapToGrid w:val="0"/>
        <w:spacing w:line="276" w:lineRule="auto"/>
        <w:ind w:firstLine="420"/>
        <w:jc w:val="left"/>
        <w:rPr>
          <w:rFonts w:ascii="宋体" w:hAnsi="宋体" w:eastAsia="宋体"/>
          <w:sz w:val="21"/>
          <w:szCs w:val="21"/>
        </w:rPr>
      </w:pPr>
      <w:r>
        <w:rPr>
          <w:rFonts w:hint="eastAsia" w:ascii="宋体" w:hAnsi="宋体" w:eastAsia="宋体"/>
          <w:sz w:val="21"/>
          <w:szCs w:val="21"/>
        </w:rPr>
        <w:t>8、关于发票</w:t>
      </w:r>
    </w:p>
    <w:p>
      <w:pPr>
        <w:widowControl/>
        <w:spacing w:line="276" w:lineRule="auto"/>
        <w:ind w:firstLine="420"/>
        <w:jc w:val="left"/>
        <w:rPr>
          <w:rFonts w:ascii="宋体" w:hAnsi="宋体" w:eastAsia="宋体" w:cs="宋体"/>
          <w:sz w:val="21"/>
          <w:szCs w:val="21"/>
        </w:rPr>
      </w:pPr>
      <w:r>
        <w:rPr>
          <w:rFonts w:hint="eastAsia" w:ascii="宋体" w:hAnsi="宋体" w:eastAsia="宋体" w:cs="宋体"/>
          <w:sz w:val="21"/>
          <w:szCs w:val="21"/>
        </w:rPr>
        <w:t>甲方按结算价向乙方提供骨料货物</w:t>
      </w:r>
      <w:r>
        <w:rPr>
          <w:rFonts w:ascii="宋体" w:hAnsi="宋体" w:eastAsia="宋体" w:cs="宋体"/>
          <w:b/>
          <w:bCs/>
          <w:sz w:val="21"/>
          <w:szCs w:val="21"/>
          <w:u w:val="single"/>
        </w:rPr>
        <w:t>3</w:t>
      </w:r>
      <w:r>
        <w:rPr>
          <w:rFonts w:ascii="宋体" w:hAnsi="宋体" w:eastAsia="宋体" w:cs="宋体"/>
          <w:b/>
          <w:bCs/>
          <w:sz w:val="21"/>
          <w:szCs w:val="21"/>
        </w:rPr>
        <w:t>%</w:t>
      </w:r>
      <w:r>
        <w:rPr>
          <w:rFonts w:ascii="宋体" w:hAnsi="宋体" w:eastAsia="宋体" w:cs="宋体"/>
          <w:sz w:val="21"/>
          <w:szCs w:val="21"/>
        </w:rPr>
        <w:t>增值税专用/普通（二选一）</w:t>
      </w:r>
      <w:r>
        <w:rPr>
          <w:rFonts w:hint="eastAsia" w:ascii="宋体" w:hAnsi="宋体" w:eastAsia="宋体" w:cs="宋体"/>
          <w:sz w:val="21"/>
          <w:szCs w:val="21"/>
        </w:rPr>
        <w:t>发票，乙方开具发票的要求应在提货之日起的三个月内提出，避免延迟。</w:t>
      </w:r>
      <w:r>
        <w:rPr>
          <w:rFonts w:ascii="宋体" w:hAnsi="宋体" w:eastAsia="宋体" w:cs="宋体"/>
          <w:sz w:val="21"/>
          <w:szCs w:val="21"/>
        </w:rPr>
        <w:t>在合同履行过程中，如国家增值税税率政策发生变化的，则按照新的政策执行。</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若乙方要求开具骨料产品增值税专用发票，则须向甲方提供加盖单位公章含有以下信息的开票资料：乙方名称、纳税人识别号或统一社会信用代码、地址、电话、开户行及账号信息。</w:t>
      </w:r>
      <w:r>
        <w:rPr>
          <w:rFonts w:hint="eastAsia" w:ascii="宋体" w:hAnsi="宋体" w:eastAsia="宋体"/>
          <w:b/>
          <w:sz w:val="21"/>
          <w:szCs w:val="21"/>
        </w:rPr>
        <w:t>（开具专票</w:t>
      </w:r>
      <w:r>
        <w:rPr>
          <w:rFonts w:hint="eastAsia" w:ascii="宋体" w:hAnsi="宋体" w:eastAsia="宋体"/>
          <w:b/>
          <w:bCs/>
          <w:sz w:val="21"/>
          <w:szCs w:val="21"/>
        </w:rPr>
        <w:t>时</w:t>
      </w:r>
      <w:r>
        <w:rPr>
          <w:rFonts w:hint="eastAsia" w:ascii="宋体" w:hAnsi="宋体" w:eastAsia="宋体"/>
          <w:b/>
          <w:sz w:val="21"/>
          <w:szCs w:val="21"/>
        </w:rPr>
        <w:t>选用）</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若乙方（非企业除外）要求开具骨料产品增值税普通发票的，则须向甲方提供加盖单位公章含有以下信息的开票资料：乙方名称、纳税人识别号或统一社会信用代码。</w:t>
      </w:r>
      <w:r>
        <w:rPr>
          <w:rFonts w:hint="eastAsia" w:ascii="宋体" w:hAnsi="宋体" w:eastAsia="宋体"/>
          <w:b/>
          <w:sz w:val="21"/>
          <w:szCs w:val="21"/>
        </w:rPr>
        <w:t>（开具普票</w:t>
      </w:r>
      <w:r>
        <w:rPr>
          <w:rFonts w:hint="eastAsia" w:ascii="宋体" w:hAnsi="宋体" w:eastAsia="宋体"/>
          <w:b/>
          <w:bCs/>
          <w:sz w:val="21"/>
          <w:szCs w:val="21"/>
        </w:rPr>
        <w:t>时</w:t>
      </w:r>
      <w:r>
        <w:rPr>
          <w:rFonts w:hint="eastAsia" w:ascii="宋体" w:hAnsi="宋体" w:eastAsia="宋体"/>
          <w:b/>
          <w:sz w:val="21"/>
          <w:szCs w:val="21"/>
        </w:rPr>
        <w:t>选用）</w:t>
      </w:r>
    </w:p>
    <w:p>
      <w:pPr>
        <w:adjustRightInd w:val="0"/>
        <w:snapToGrid w:val="0"/>
        <w:spacing w:line="276" w:lineRule="auto"/>
        <w:ind w:firstLine="422"/>
        <w:rPr>
          <w:rFonts w:ascii="宋体" w:hAnsi="宋体" w:eastAsia="宋体"/>
          <w:b/>
          <w:sz w:val="21"/>
          <w:szCs w:val="21"/>
        </w:rPr>
      </w:pPr>
      <w:r>
        <w:rPr>
          <w:rFonts w:hint="eastAsia" w:ascii="宋体" w:hAnsi="宋体" w:eastAsia="宋体"/>
          <w:b/>
          <w:sz w:val="21"/>
          <w:szCs w:val="21"/>
        </w:rPr>
        <w:t>七、双方权利义务</w:t>
      </w:r>
    </w:p>
    <w:p>
      <w:pPr>
        <w:spacing w:line="276" w:lineRule="auto"/>
        <w:ind w:firstLine="420"/>
      </w:pPr>
      <w:r>
        <w:rPr>
          <w:rFonts w:hint="eastAsia" w:ascii="宋体" w:hAnsi="宋体" w:eastAsia="宋体"/>
          <w:sz w:val="21"/>
          <w:szCs w:val="21"/>
        </w:rPr>
        <w:t>甲方负责将货物装载至乙方提货车辆（场内），乙方</w:t>
      </w:r>
      <w:r>
        <w:rPr>
          <w:rFonts w:ascii="宋体" w:hAnsi="宋体" w:eastAsia="宋体"/>
          <w:sz w:val="21"/>
          <w:szCs w:val="21"/>
        </w:rPr>
        <w:t>提货车辆必须严格遵守</w:t>
      </w:r>
      <w:r>
        <w:rPr>
          <w:rFonts w:hint="eastAsia" w:ascii="宋体" w:hAnsi="宋体" w:eastAsia="宋体"/>
          <w:sz w:val="21"/>
          <w:szCs w:val="21"/>
        </w:rPr>
        <w:t>甲</w:t>
      </w:r>
      <w:r>
        <w:rPr>
          <w:rFonts w:ascii="宋体" w:hAnsi="宋体" w:eastAsia="宋体"/>
          <w:sz w:val="21"/>
          <w:szCs w:val="21"/>
        </w:rPr>
        <w:t>方相关管理规章制度，</w:t>
      </w:r>
      <w:r>
        <w:rPr>
          <w:rFonts w:hint="eastAsia" w:ascii="宋体" w:hAnsi="宋体" w:eastAsia="宋体"/>
          <w:sz w:val="21"/>
          <w:szCs w:val="21"/>
        </w:rPr>
        <w:t>并与甲方签订厂内安全协议。</w:t>
      </w:r>
    </w:p>
    <w:p>
      <w:pPr>
        <w:adjustRightInd w:val="0"/>
        <w:snapToGrid w:val="0"/>
        <w:spacing w:line="276" w:lineRule="auto"/>
        <w:ind w:firstLine="316" w:firstLineChars="150"/>
        <w:outlineLvl w:val="0"/>
        <w:rPr>
          <w:rFonts w:ascii="宋体" w:hAnsi="宋体" w:eastAsia="宋体"/>
          <w:b/>
          <w:sz w:val="21"/>
          <w:szCs w:val="21"/>
        </w:rPr>
      </w:pPr>
      <w:r>
        <w:rPr>
          <w:rFonts w:hint="eastAsia" w:ascii="宋体" w:hAnsi="宋体" w:eastAsia="宋体"/>
          <w:b/>
          <w:sz w:val="21"/>
          <w:szCs w:val="21"/>
        </w:rPr>
        <w:t>第八条  所有权及风险转移</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1、产品的所有权自甲方交付乙方且乙方已付清货款时转移。</w:t>
      </w:r>
    </w:p>
    <w:p>
      <w:pPr>
        <w:adjustRightInd w:val="0"/>
        <w:snapToGrid w:val="0"/>
        <w:spacing w:line="276" w:lineRule="auto"/>
        <w:ind w:left="420" w:firstLine="0" w:firstLineChars="0"/>
        <w:rPr>
          <w:rFonts w:ascii="宋体" w:hAnsi="宋体" w:eastAsia="宋体"/>
          <w:sz w:val="21"/>
          <w:szCs w:val="21"/>
        </w:rPr>
      </w:pPr>
      <w:r>
        <w:rPr>
          <w:rFonts w:hint="eastAsia" w:ascii="宋体" w:hAnsi="宋体" w:eastAsia="宋体"/>
          <w:sz w:val="21"/>
          <w:szCs w:val="21"/>
        </w:rPr>
        <w:t>2、产品的毁损、灭失风险自甲方交付给乙方时发生转移。</w:t>
      </w:r>
    </w:p>
    <w:p>
      <w:pPr>
        <w:adjustRightInd w:val="0"/>
        <w:snapToGrid w:val="0"/>
        <w:spacing w:line="276" w:lineRule="auto"/>
        <w:ind w:firstLine="0" w:firstLineChars="0"/>
        <w:rPr>
          <w:rFonts w:ascii="宋体" w:hAnsi="宋体" w:eastAsia="宋体"/>
          <w:b/>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b/>
          <w:sz w:val="21"/>
          <w:szCs w:val="21"/>
        </w:rPr>
        <w:t>第九条  合同的变更</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1、除本合同另有约定外本合同下的任何条款变更或补充,须由甲、乙双方协商解决并签订书面补充协议，补充协议与本合同具有同等法律效力。</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2、合同期间，在对价格进行调整时，采用</w:t>
      </w:r>
      <w:r>
        <w:rPr>
          <w:rFonts w:ascii="宋体" w:hAnsi="宋体" w:eastAsia="宋体"/>
          <w:sz w:val="21"/>
          <w:szCs w:val="21"/>
          <w:u w:val="single"/>
        </w:rPr>
        <w:t>A</w:t>
      </w:r>
      <w:r>
        <w:rPr>
          <w:rFonts w:hint="eastAsia" w:ascii="宋体" w:hAnsi="宋体" w:eastAsia="宋体"/>
          <w:sz w:val="21"/>
          <w:szCs w:val="21"/>
          <w:u w:val="single"/>
        </w:rPr>
        <w:t>/</w:t>
      </w:r>
      <w:r>
        <w:rPr>
          <w:rFonts w:ascii="宋体" w:hAnsi="宋体" w:eastAsia="宋体"/>
          <w:sz w:val="21"/>
          <w:szCs w:val="21"/>
          <w:u w:val="single"/>
        </w:rPr>
        <w:t>B</w:t>
      </w:r>
      <w:r>
        <w:rPr>
          <w:rFonts w:hint="eastAsia" w:ascii="宋体" w:hAnsi="宋体" w:eastAsia="宋体"/>
          <w:sz w:val="21"/>
          <w:szCs w:val="21"/>
          <w:u w:val="single"/>
        </w:rPr>
        <w:t>（自选）</w:t>
      </w:r>
      <w:r>
        <w:rPr>
          <w:rFonts w:hint="eastAsia" w:ascii="宋体" w:hAnsi="宋体" w:eastAsia="宋体"/>
          <w:sz w:val="21"/>
          <w:szCs w:val="21"/>
        </w:rPr>
        <w:t>种形式进行确认。</w:t>
      </w:r>
    </w:p>
    <w:p>
      <w:pPr>
        <w:adjustRightInd w:val="0"/>
        <w:snapToGrid w:val="0"/>
        <w:spacing w:line="276" w:lineRule="auto"/>
        <w:ind w:firstLine="420"/>
        <w:rPr>
          <w:rFonts w:ascii="宋体" w:hAnsi="宋体" w:eastAsia="宋体"/>
          <w:bCs/>
          <w:sz w:val="21"/>
          <w:szCs w:val="21"/>
        </w:rPr>
      </w:pPr>
      <w:r>
        <w:rPr>
          <w:rFonts w:hint="eastAsia" w:ascii="宋体" w:hAnsi="宋体" w:eastAsia="宋体"/>
          <w:sz w:val="21"/>
          <w:szCs w:val="21"/>
        </w:rPr>
        <w:t>A、电子邮件确认（以此</w:t>
      </w:r>
      <w:r>
        <w:rPr>
          <w:rFonts w:ascii="宋体" w:hAnsi="宋体" w:eastAsia="宋体"/>
          <w:sz w:val="21"/>
          <w:szCs w:val="21"/>
        </w:rPr>
        <w:t>方式</w:t>
      </w:r>
      <w:r>
        <w:rPr>
          <w:rFonts w:hint="eastAsia" w:ascii="宋体" w:hAnsi="宋体" w:eastAsia="宋体"/>
          <w:sz w:val="21"/>
          <w:szCs w:val="21"/>
        </w:rPr>
        <w:t>确认的</w:t>
      </w:r>
      <w:r>
        <w:rPr>
          <w:rFonts w:ascii="宋体" w:hAnsi="宋体" w:eastAsia="宋体"/>
          <w:sz w:val="21"/>
          <w:szCs w:val="21"/>
        </w:rPr>
        <w:t>，</w:t>
      </w:r>
      <w:r>
        <w:rPr>
          <w:rFonts w:hint="eastAsia" w:ascii="宋体" w:hAnsi="宋体" w:eastAsia="宋体"/>
          <w:sz w:val="21"/>
          <w:szCs w:val="21"/>
        </w:rPr>
        <w:t>邮箱地址、授权</w:t>
      </w:r>
      <w:r>
        <w:rPr>
          <w:rFonts w:hint="eastAsia" w:ascii="宋体" w:hAnsi="宋体" w:eastAsia="宋体"/>
          <w:bCs/>
          <w:sz w:val="21"/>
          <w:szCs w:val="21"/>
        </w:rPr>
        <w:t>联系人信息、</w:t>
      </w:r>
      <w:r>
        <w:rPr>
          <w:rFonts w:ascii="宋体" w:hAnsi="宋体" w:eastAsia="宋体"/>
          <w:bCs/>
          <w:sz w:val="21"/>
          <w:szCs w:val="21"/>
        </w:rPr>
        <w:t>授权</w:t>
      </w:r>
      <w:r>
        <w:rPr>
          <w:rFonts w:hint="eastAsia" w:ascii="宋体" w:hAnsi="宋体" w:eastAsia="宋体"/>
          <w:bCs/>
          <w:sz w:val="21"/>
          <w:szCs w:val="21"/>
        </w:rPr>
        <w:t>时间及</w:t>
      </w:r>
      <w:r>
        <w:rPr>
          <w:rFonts w:ascii="宋体" w:hAnsi="宋体" w:eastAsia="宋体"/>
          <w:bCs/>
          <w:sz w:val="21"/>
          <w:szCs w:val="21"/>
        </w:rPr>
        <w:t>授权</w:t>
      </w:r>
      <w:r>
        <w:rPr>
          <w:rFonts w:hint="eastAsia" w:ascii="宋体" w:hAnsi="宋体" w:eastAsia="宋体"/>
          <w:bCs/>
          <w:sz w:val="21"/>
          <w:szCs w:val="21"/>
        </w:rPr>
        <w:t>范围须经甲乙双方事先书面确认）；</w:t>
      </w:r>
    </w:p>
    <w:p>
      <w:pPr>
        <w:adjustRightInd w:val="0"/>
        <w:snapToGrid w:val="0"/>
        <w:spacing w:line="276" w:lineRule="auto"/>
        <w:ind w:firstLine="420"/>
        <w:rPr>
          <w:rFonts w:ascii="宋体" w:hAnsi="宋体" w:eastAsia="宋体" w:cs="宋体"/>
          <w:sz w:val="21"/>
          <w:szCs w:val="21"/>
        </w:rPr>
      </w:pPr>
      <w:r>
        <w:rPr>
          <w:rFonts w:ascii="宋体" w:hAnsi="宋体" w:eastAsia="宋体"/>
          <w:sz w:val="21"/>
          <w:szCs w:val="21"/>
        </w:rPr>
        <w:t>B</w:t>
      </w:r>
      <w:r>
        <w:rPr>
          <w:rFonts w:hint="eastAsia" w:ascii="宋体" w:hAnsi="宋体" w:eastAsia="宋体"/>
          <w:sz w:val="21"/>
          <w:szCs w:val="21"/>
        </w:rPr>
        <w:t>、</w:t>
      </w:r>
      <w:r>
        <w:rPr>
          <w:rFonts w:hint="eastAsia" w:ascii="宋体" w:hAnsi="宋体" w:eastAsia="宋体" w:cs="宋体"/>
          <w:sz w:val="21"/>
          <w:szCs w:val="21"/>
        </w:rPr>
        <w:t>价格调整确认函，经甲、乙双方签字并盖章确认（乙方对其通过加盖公司公章、合同章确认的价格调整确认函均予以认可，并承担相应的法律后果）。</w:t>
      </w:r>
    </w:p>
    <w:p>
      <w:pPr>
        <w:adjustRightInd w:val="0"/>
        <w:snapToGrid w:val="0"/>
        <w:spacing w:line="276" w:lineRule="auto"/>
        <w:ind w:firstLine="420"/>
        <w:rPr>
          <w:rFonts w:eastAsia="宋体"/>
        </w:rPr>
      </w:pPr>
      <w:r>
        <w:rPr>
          <w:rFonts w:hint="eastAsia" w:ascii="宋体" w:hAnsi="宋体" w:eastAsia="宋体" w:cs="宋体"/>
          <w:sz w:val="21"/>
          <w:szCs w:val="21"/>
        </w:rPr>
        <w:t>若乙方未对上述约定的调价方式对价格调整进行确认，但自调价起始日起继续向甲方提货的，视为乙方</w:t>
      </w:r>
      <w:r>
        <w:rPr>
          <w:rFonts w:hint="eastAsia" w:ascii="宋体" w:hAnsi="宋体" w:eastAsia="宋体"/>
          <w:sz w:val="21"/>
          <w:szCs w:val="21"/>
        </w:rPr>
        <w:t>已同意价格调整，</w:t>
      </w:r>
      <w:r>
        <w:rPr>
          <w:rFonts w:hint="eastAsia" w:ascii="宋体" w:hAnsi="宋体" w:eastAsia="宋体" w:cs="宋体"/>
          <w:sz w:val="21"/>
          <w:szCs w:val="21"/>
        </w:rPr>
        <w:t>甲方有权按照调整后的价格进行结算。</w:t>
      </w:r>
    </w:p>
    <w:p>
      <w:pPr>
        <w:adjustRightInd w:val="0"/>
        <w:snapToGrid w:val="0"/>
        <w:spacing w:line="276" w:lineRule="auto"/>
        <w:ind w:firstLine="413" w:firstLineChars="196"/>
        <w:rPr>
          <w:rFonts w:ascii="宋体" w:hAnsi="宋体" w:eastAsia="宋体"/>
          <w:b/>
          <w:sz w:val="21"/>
          <w:szCs w:val="21"/>
        </w:rPr>
      </w:pPr>
      <w:r>
        <w:rPr>
          <w:rFonts w:hint="eastAsia" w:ascii="宋体" w:hAnsi="宋体" w:eastAsia="宋体"/>
          <w:b/>
          <w:sz w:val="21"/>
          <w:szCs w:val="21"/>
        </w:rPr>
        <w:t>第十条  通知</w:t>
      </w:r>
    </w:p>
    <w:p>
      <w:pPr>
        <w:adjustRightInd w:val="0"/>
        <w:snapToGrid w:val="0"/>
        <w:spacing w:line="276" w:lineRule="auto"/>
        <w:ind w:firstLine="420"/>
        <w:rPr>
          <w:rFonts w:ascii="宋体" w:hAnsi="宋体" w:eastAsia="宋体"/>
          <w:sz w:val="21"/>
          <w:szCs w:val="21"/>
          <w:lang w:val="en-GB"/>
        </w:rPr>
      </w:pPr>
      <w:r>
        <w:rPr>
          <w:rFonts w:hint="eastAsia" w:ascii="宋体" w:hAnsi="宋体" w:eastAsia="宋体"/>
          <w:sz w:val="21"/>
          <w:szCs w:val="21"/>
          <w:lang w:val="en-GB"/>
        </w:rPr>
        <w:t>1、本合同履行期间，甲、乙双方所有的通讯联络应以</w:t>
      </w:r>
      <w:r>
        <w:rPr>
          <w:rFonts w:hint="eastAsia" w:ascii="宋体" w:hAnsi="宋体" w:eastAsia="宋体" w:cs="宋体"/>
          <w:sz w:val="21"/>
          <w:szCs w:val="21"/>
        </w:rPr>
        <w:t>包括</w:t>
      </w:r>
      <w:r>
        <w:rPr>
          <w:rFonts w:hint="eastAsia" w:ascii="宋体" w:hAnsi="宋体" w:eastAsia="宋体"/>
          <w:sz w:val="21"/>
          <w:szCs w:val="21"/>
          <w:lang w:val="en-GB"/>
        </w:rPr>
        <w:t>电话/</w:t>
      </w:r>
      <w:r>
        <w:rPr>
          <w:rFonts w:hint="eastAsia" w:ascii="宋体" w:hAnsi="宋体" w:eastAsia="宋体" w:cs="宋体"/>
          <w:sz w:val="21"/>
          <w:szCs w:val="21"/>
        </w:rPr>
        <w:t>短信/微信/电子邮件在内的方式进行</w:t>
      </w:r>
      <w:r>
        <w:rPr>
          <w:rFonts w:hint="eastAsia" w:ascii="宋体" w:hAnsi="宋体" w:eastAsia="宋体"/>
          <w:sz w:val="21"/>
          <w:szCs w:val="21"/>
          <w:lang w:val="en-GB"/>
        </w:rPr>
        <w:t>。</w:t>
      </w:r>
    </w:p>
    <w:p>
      <w:pPr>
        <w:adjustRightInd w:val="0"/>
        <w:snapToGrid w:val="0"/>
        <w:spacing w:line="276" w:lineRule="auto"/>
        <w:ind w:firstLine="420"/>
        <w:rPr>
          <w:rFonts w:ascii="宋体" w:hAnsi="宋体" w:eastAsia="宋体"/>
          <w:sz w:val="21"/>
          <w:szCs w:val="21"/>
          <w:lang w:val="en-GB"/>
        </w:rPr>
      </w:pPr>
      <w:r>
        <w:rPr>
          <w:rFonts w:hint="eastAsia" w:ascii="宋体" w:hAnsi="宋体" w:eastAsia="宋体"/>
          <w:sz w:val="21"/>
          <w:szCs w:val="21"/>
          <w:lang w:val="en-GB"/>
        </w:rPr>
        <w:t>2、任何一方按本合同的规定发出的任何通知或书面通讯，均应以中文书写，并用速递方式迅速发往或寄往对方。</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lang w:val="en-GB"/>
        </w:rPr>
        <w:t>（1）用电话/</w:t>
      </w:r>
      <w:r>
        <w:rPr>
          <w:rFonts w:hint="eastAsia" w:ascii="宋体" w:hAnsi="宋体" w:eastAsia="宋体" w:cs="宋体"/>
          <w:sz w:val="21"/>
          <w:szCs w:val="21"/>
        </w:rPr>
        <w:t>短信/微信/电子邮件</w:t>
      </w:r>
      <w:r>
        <w:rPr>
          <w:rFonts w:hint="eastAsia" w:ascii="宋体" w:hAnsi="宋体" w:eastAsia="宋体"/>
          <w:sz w:val="21"/>
          <w:szCs w:val="21"/>
          <w:lang w:val="en-GB"/>
        </w:rPr>
        <w:t>发出的通知，应在发出通知的3日内</w:t>
      </w:r>
      <w:r>
        <w:rPr>
          <w:rFonts w:hint="eastAsia" w:ascii="宋体" w:hAnsi="宋体" w:eastAsia="宋体"/>
          <w:sz w:val="21"/>
          <w:szCs w:val="21"/>
        </w:rPr>
        <w:t>补办正式签字及盖章手续的书面通知，并速递给对方；</w:t>
      </w:r>
    </w:p>
    <w:p>
      <w:pPr>
        <w:adjustRightInd w:val="0"/>
        <w:snapToGrid w:val="0"/>
        <w:spacing w:line="276" w:lineRule="auto"/>
        <w:ind w:firstLine="420"/>
        <w:rPr>
          <w:rFonts w:ascii="宋体" w:hAnsi="宋体" w:eastAsia="宋体"/>
          <w:sz w:val="21"/>
          <w:szCs w:val="21"/>
          <w:lang w:val="en-GB"/>
        </w:rPr>
      </w:pPr>
      <w:r>
        <w:rPr>
          <w:rFonts w:hint="eastAsia" w:ascii="宋体" w:hAnsi="宋体" w:eastAsia="宋体"/>
          <w:sz w:val="21"/>
          <w:szCs w:val="21"/>
          <w:lang w:val="en-GB"/>
        </w:rPr>
        <w:t>（2）用信函发出的通知，则在邮资付讫的挂号信寄出日（以邮戳为凭）后的第5天，或在送交快递服务机构后的第</w:t>
      </w:r>
      <w:r>
        <w:rPr>
          <w:rFonts w:ascii="宋体" w:hAnsi="宋体" w:eastAsia="宋体"/>
          <w:sz w:val="21"/>
          <w:szCs w:val="21"/>
          <w:lang w:val="en-GB"/>
        </w:rPr>
        <w:t>3</w:t>
      </w:r>
      <w:r>
        <w:rPr>
          <w:rFonts w:hint="eastAsia" w:ascii="宋体" w:hAnsi="宋体" w:eastAsia="宋体"/>
          <w:sz w:val="21"/>
          <w:szCs w:val="21"/>
          <w:lang w:val="en-GB"/>
        </w:rPr>
        <w:t>天，应视为有效送达；</w:t>
      </w:r>
      <w:r>
        <w:rPr>
          <w:rFonts w:ascii="宋体" w:hAnsi="宋体" w:eastAsia="宋体"/>
          <w:sz w:val="21"/>
          <w:szCs w:val="21"/>
          <w:lang w:val="en-GB"/>
        </w:rPr>
        <w:t xml:space="preserve"> </w:t>
      </w:r>
    </w:p>
    <w:p>
      <w:pPr>
        <w:spacing w:line="276" w:lineRule="auto"/>
        <w:ind w:firstLine="420"/>
        <w:rPr>
          <w:rFonts w:ascii="宋体" w:hAnsi="宋体" w:eastAsia="宋体"/>
          <w:sz w:val="21"/>
          <w:szCs w:val="21"/>
          <w:lang w:val="en-GB"/>
        </w:rPr>
      </w:pPr>
      <w:r>
        <w:rPr>
          <w:rFonts w:hint="eastAsia" w:ascii="宋体" w:hAnsi="宋体" w:eastAsia="宋体" w:cs="宋体"/>
          <w:sz w:val="21"/>
          <w:szCs w:val="21"/>
        </w:rPr>
        <w:t>除甲、乙双方的地址已按照本条的规定书面通知了对方并经对方书面确认的情况，一切通知均须发往甲、乙双方在本合同中载明的地址。</w:t>
      </w:r>
    </w:p>
    <w:p>
      <w:pPr>
        <w:adjustRightInd w:val="0"/>
        <w:snapToGrid w:val="0"/>
        <w:spacing w:line="276" w:lineRule="auto"/>
        <w:ind w:firstLine="413" w:firstLineChars="196"/>
        <w:rPr>
          <w:rFonts w:ascii="宋体" w:hAnsi="宋体" w:eastAsia="宋体"/>
          <w:b/>
          <w:sz w:val="21"/>
          <w:szCs w:val="21"/>
        </w:rPr>
      </w:pPr>
      <w:r>
        <w:rPr>
          <w:rFonts w:hint="eastAsia" w:ascii="宋体" w:hAnsi="宋体" w:eastAsia="宋体"/>
          <w:b/>
          <w:sz w:val="21"/>
          <w:szCs w:val="21"/>
        </w:rPr>
        <w:t>第十一条  违约责任</w:t>
      </w:r>
    </w:p>
    <w:p>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1、甲方的违约责任</w:t>
      </w:r>
    </w:p>
    <w:p>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（1）甲方交付的产品品种、规格、质量若有不符合合同约定的，如乙方同意使用的，应按质论价；乙方不能使用的，应视具体情况由甲方负责更换、退货、并承担相应的费用支出。</w:t>
      </w:r>
    </w:p>
    <w:p>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（2）甲方</w:t>
      </w:r>
      <w:r>
        <w:rPr>
          <w:rFonts w:hint="eastAsia" w:ascii="宋体" w:hAnsi="宋体" w:eastAsia="宋体"/>
          <w:sz w:val="21"/>
          <w:szCs w:val="21"/>
          <w:lang w:val="en-US" w:eastAsia="zh-CN"/>
        </w:rPr>
        <w:t>无故</w:t>
      </w:r>
      <w:r>
        <w:rPr>
          <w:rFonts w:hint="eastAsia" w:ascii="宋体" w:hAnsi="宋体" w:eastAsia="宋体"/>
          <w:sz w:val="21"/>
          <w:szCs w:val="21"/>
        </w:rPr>
        <w:t xml:space="preserve">拒绝履行合同义务擅自停止向乙方供应材料的，应支付乙方剩余材料货款总金额20%的违约金，并赔偿因此给乙方造成的工期延误损失。 </w:t>
      </w:r>
    </w:p>
    <w:p>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2、乙方的违约责任</w:t>
      </w:r>
    </w:p>
    <w:p>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（1）乙方如错误指示到货地点/收货人，或对甲方订单有任何信息错误的，应当承担因此产生的一切相关损失。</w:t>
      </w:r>
    </w:p>
    <w:p>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乙方</w:t>
      </w:r>
      <w:r>
        <w:rPr>
          <w:rFonts w:hint="eastAsia" w:ascii="宋体" w:hAnsi="宋体" w:eastAsia="宋体"/>
          <w:sz w:val="21"/>
          <w:szCs w:val="21"/>
        </w:rPr>
        <w:t>扰乱</w:t>
      </w:r>
      <w:r>
        <w:rPr>
          <w:rFonts w:ascii="宋体" w:hAnsi="宋体" w:eastAsia="宋体"/>
          <w:sz w:val="21"/>
          <w:szCs w:val="21"/>
        </w:rPr>
        <w:t>甲方</w:t>
      </w:r>
      <w:r>
        <w:rPr>
          <w:rFonts w:hint="eastAsia" w:ascii="宋体" w:hAnsi="宋体" w:eastAsia="宋体"/>
          <w:sz w:val="21"/>
          <w:szCs w:val="21"/>
        </w:rPr>
        <w:t>生产经营</w:t>
      </w:r>
      <w:r>
        <w:rPr>
          <w:rFonts w:ascii="宋体" w:hAnsi="宋体" w:eastAsia="宋体"/>
          <w:sz w:val="21"/>
          <w:szCs w:val="21"/>
        </w:rPr>
        <w:t>秩序</w:t>
      </w:r>
      <w:r>
        <w:rPr>
          <w:rFonts w:hint="eastAsia" w:ascii="宋体" w:hAnsi="宋体" w:eastAsia="宋体"/>
          <w:sz w:val="21"/>
          <w:szCs w:val="21"/>
        </w:rPr>
        <w:t>（包括但不限于乙方阻碍甲方进行任何产品生产、销售或发运）的</w:t>
      </w:r>
      <w:r>
        <w:rPr>
          <w:rFonts w:ascii="宋体" w:hAnsi="宋体" w:eastAsia="宋体"/>
          <w:sz w:val="21"/>
          <w:szCs w:val="21"/>
        </w:rPr>
        <w:t>，</w:t>
      </w:r>
      <w:r>
        <w:rPr>
          <w:rFonts w:hint="eastAsia" w:ascii="宋体" w:hAnsi="宋体" w:eastAsia="宋体"/>
          <w:sz w:val="21"/>
          <w:szCs w:val="21"/>
        </w:rPr>
        <w:t>甲方</w:t>
      </w:r>
      <w:r>
        <w:rPr>
          <w:rFonts w:ascii="宋体" w:hAnsi="宋体" w:eastAsia="宋体"/>
          <w:sz w:val="21"/>
          <w:szCs w:val="21"/>
        </w:rPr>
        <w:t>有权</w:t>
      </w:r>
      <w:r>
        <w:rPr>
          <w:rFonts w:hint="eastAsia" w:ascii="宋体" w:hAnsi="宋体" w:eastAsia="宋体"/>
          <w:sz w:val="21"/>
          <w:szCs w:val="21"/>
        </w:rPr>
        <w:t>按</w:t>
      </w:r>
      <w:r>
        <w:rPr>
          <w:rFonts w:ascii="宋体" w:hAnsi="宋体" w:eastAsia="宋体"/>
          <w:sz w:val="21"/>
          <w:szCs w:val="21"/>
        </w:rPr>
        <w:t>2</w:t>
      </w:r>
      <w:r>
        <w:rPr>
          <w:rFonts w:hint="eastAsia" w:ascii="宋体" w:hAnsi="宋体" w:eastAsia="宋体"/>
          <w:sz w:val="21"/>
          <w:szCs w:val="21"/>
        </w:rPr>
        <w:t>万元/次向乙方计收违约金，同时有权终止本合同</w:t>
      </w:r>
      <w:r>
        <w:rPr>
          <w:rFonts w:ascii="宋体" w:hAnsi="宋体" w:eastAsia="宋体"/>
          <w:sz w:val="21"/>
          <w:szCs w:val="21"/>
        </w:rPr>
        <w:t>，并要求乙方赔偿</w:t>
      </w:r>
      <w:r>
        <w:rPr>
          <w:rFonts w:hint="eastAsia" w:ascii="宋体" w:hAnsi="宋体" w:eastAsia="宋体"/>
          <w:sz w:val="21"/>
          <w:szCs w:val="21"/>
        </w:rPr>
        <w:t>由此给甲方</w:t>
      </w:r>
      <w:r>
        <w:rPr>
          <w:rFonts w:ascii="宋体" w:hAnsi="宋体" w:eastAsia="宋体"/>
          <w:sz w:val="21"/>
          <w:szCs w:val="21"/>
        </w:rPr>
        <w:t>造成的损失。</w:t>
      </w:r>
    </w:p>
    <w:p>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（3）乙方不得有恶意竞争行为，从而恶意低价冲击拉低周边石料市场价格，如有发生，视为乙方违约。甲方</w:t>
      </w:r>
      <w:r>
        <w:rPr>
          <w:rFonts w:ascii="宋体" w:hAnsi="宋体" w:eastAsia="宋体"/>
          <w:sz w:val="21"/>
          <w:szCs w:val="21"/>
        </w:rPr>
        <w:t>有权</w:t>
      </w:r>
      <w:r>
        <w:rPr>
          <w:rFonts w:hint="eastAsia" w:ascii="宋体" w:hAnsi="宋体" w:eastAsia="宋体"/>
          <w:sz w:val="21"/>
          <w:szCs w:val="21"/>
        </w:rPr>
        <w:t>无条件终止本合同</w:t>
      </w:r>
      <w:r>
        <w:rPr>
          <w:rFonts w:ascii="宋体" w:hAnsi="宋体" w:eastAsia="宋体"/>
          <w:sz w:val="21"/>
          <w:szCs w:val="21"/>
        </w:rPr>
        <w:t>，并要求乙方赔偿</w:t>
      </w:r>
      <w:r>
        <w:rPr>
          <w:rFonts w:hint="eastAsia" w:ascii="宋体" w:hAnsi="宋体" w:eastAsia="宋体"/>
          <w:sz w:val="21"/>
          <w:szCs w:val="21"/>
        </w:rPr>
        <w:t>由此给甲方</w:t>
      </w:r>
      <w:r>
        <w:rPr>
          <w:rFonts w:ascii="宋体" w:hAnsi="宋体" w:eastAsia="宋体"/>
          <w:sz w:val="21"/>
          <w:szCs w:val="21"/>
        </w:rPr>
        <w:t>造成的损失</w:t>
      </w:r>
      <w:r>
        <w:rPr>
          <w:rFonts w:hint="eastAsia" w:ascii="宋体" w:hAnsi="宋体" w:eastAsia="宋体"/>
          <w:sz w:val="21"/>
          <w:szCs w:val="21"/>
        </w:rPr>
        <w:t>。</w:t>
      </w:r>
    </w:p>
    <w:p>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（4）甲方有权从乙方的任何一笔预付款或其他款项中直接扣除乙方应付的赔偿金、违约金或滞期费等费用。</w:t>
      </w:r>
    </w:p>
    <w:p>
      <w:pPr>
        <w:pStyle w:val="2"/>
        <w:ind w:firstLine="440"/>
        <w:rPr>
          <w:rFonts w:hAnsi="宋体" w:eastAsia="宋体"/>
          <w:sz w:val="22"/>
          <w:szCs w:val="22"/>
        </w:rPr>
      </w:pPr>
      <w:r>
        <w:rPr>
          <w:rFonts w:hint="eastAsia" w:hAnsi="宋体" w:eastAsia="宋体"/>
          <w:sz w:val="22"/>
          <w:szCs w:val="22"/>
        </w:rPr>
        <w:t>（5）乙方拒绝履行合同义务擅自停止向甲方支付货款或提货的，应支付甲方剩余材料货款总金额</w:t>
      </w:r>
      <w:r>
        <w:rPr>
          <w:rFonts w:hAnsi="宋体" w:eastAsia="宋体"/>
          <w:sz w:val="22"/>
          <w:szCs w:val="22"/>
        </w:rPr>
        <w:t>20%</w:t>
      </w:r>
      <w:r>
        <w:rPr>
          <w:rFonts w:hint="eastAsia" w:hAnsi="宋体" w:eastAsia="宋体"/>
          <w:sz w:val="22"/>
          <w:szCs w:val="22"/>
        </w:rPr>
        <w:t>的违约金，并赔偿因此给甲方造成的工期延误损失。</w:t>
      </w:r>
    </w:p>
    <w:p>
      <w:pPr>
        <w:pStyle w:val="2"/>
        <w:ind w:firstLine="440"/>
        <w:rPr>
          <w:rFonts w:hint="eastAsia" w:hAnsi="宋体" w:eastAsia="宋体"/>
          <w:sz w:val="22"/>
          <w:szCs w:val="22"/>
          <w:lang w:eastAsia="zh-CN"/>
        </w:rPr>
      </w:pPr>
      <w:r>
        <w:rPr>
          <w:rFonts w:hint="eastAsia" w:hAnsi="宋体" w:eastAsia="宋体"/>
          <w:sz w:val="22"/>
          <w:szCs w:val="22"/>
        </w:rPr>
        <w:t>（6）乙方在甲方指定地点提货过程中，乙方工作人员及车辆应严格遵守甲方厂区内的规章制度，由于乙方工作人员、车辆等自身原因导致发生安全生产事故，乙方自行承担因此造成的所有损失。</w:t>
      </w:r>
    </w:p>
    <w:p>
      <w:pPr>
        <w:adjustRightInd w:val="0"/>
        <w:snapToGrid w:val="0"/>
        <w:spacing w:line="276" w:lineRule="auto"/>
        <w:ind w:firstLine="413" w:firstLineChars="196"/>
        <w:outlineLvl w:val="0"/>
        <w:rPr>
          <w:rFonts w:ascii="宋体" w:hAnsi="宋体" w:eastAsia="宋体"/>
          <w:b/>
          <w:bCs/>
          <w:sz w:val="21"/>
          <w:szCs w:val="21"/>
        </w:rPr>
      </w:pPr>
      <w:r>
        <w:rPr>
          <w:rFonts w:hint="eastAsia" w:ascii="宋体" w:hAnsi="宋体" w:eastAsia="宋体"/>
          <w:b/>
          <w:bCs/>
          <w:sz w:val="21"/>
          <w:szCs w:val="21"/>
        </w:rPr>
        <w:t>第十二条  免责条款</w:t>
      </w:r>
    </w:p>
    <w:p>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1、在履行本合同的过程中，由于出现不可抗力的事由，导致本合同不能履行时，一方应当在事发后72小时内通知对方并附政府主管部门出具的证明文件，方可在不可抗力影响范围内免除其不履行部分的违约责任。</w:t>
      </w:r>
    </w:p>
    <w:p>
      <w:pPr>
        <w:ind w:firstLine="412"/>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cs="Times New Roman"/>
          <w:sz w:val="21"/>
          <w:szCs w:val="21"/>
          <w:shd w:val="clear"/>
          <w:lang w:val="en-US" w:eastAsia="zh-CN"/>
        </w:rPr>
        <w:t>若因不可预见原因甲方明确无法于三个月内启动交付，双方友好协商具体解决方案。若双方无法达成一致意见，甲方可无责解除该合同并无息退还已交付的合同价款，不承担任何违约责任</w:t>
      </w:r>
      <w:r>
        <w:rPr>
          <w:rFonts w:hint="eastAsia" w:ascii="宋体" w:hAnsi="宋体" w:eastAsia="宋体" w:cs="Times New Roman"/>
          <w:sz w:val="21"/>
          <w:szCs w:val="21"/>
          <w:shd w:val="clear"/>
        </w:rPr>
        <w:t>。</w:t>
      </w:r>
    </w:p>
    <w:p>
      <w:pPr>
        <w:adjustRightInd w:val="0"/>
        <w:snapToGrid w:val="0"/>
        <w:spacing w:line="276" w:lineRule="auto"/>
        <w:ind w:firstLine="422"/>
        <w:outlineLvl w:val="0"/>
        <w:rPr>
          <w:rFonts w:ascii="宋体" w:hAnsi="宋体" w:eastAsia="宋体"/>
          <w:b/>
          <w:sz w:val="21"/>
          <w:szCs w:val="21"/>
        </w:rPr>
      </w:pPr>
      <w:r>
        <w:rPr>
          <w:rFonts w:hint="eastAsia" w:ascii="宋体" w:hAnsi="宋体" w:eastAsia="宋体"/>
          <w:b/>
          <w:sz w:val="21"/>
          <w:szCs w:val="21"/>
        </w:rPr>
        <w:t>第十三条  争议解决</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因本合同所发生的任何争议，由甲、乙双方协商解决；若协商不成，应向甲方所在地有管辖权的人民法院</w:t>
      </w:r>
      <w:r>
        <w:rPr>
          <w:rFonts w:hint="eastAsia" w:ascii="宋体" w:hAnsi="宋体" w:eastAsia="宋体"/>
          <w:sz w:val="22"/>
          <w:szCs w:val="22"/>
        </w:rPr>
        <w:t>诉讼</w:t>
      </w:r>
      <w:r>
        <w:rPr>
          <w:rFonts w:hint="eastAsia" w:ascii="宋体" w:hAnsi="宋体" w:eastAsia="宋体"/>
          <w:sz w:val="21"/>
          <w:szCs w:val="21"/>
        </w:rPr>
        <w:t>。</w:t>
      </w:r>
    </w:p>
    <w:p>
      <w:pPr>
        <w:adjustRightInd w:val="0"/>
        <w:snapToGrid w:val="0"/>
        <w:spacing w:line="276" w:lineRule="auto"/>
        <w:ind w:firstLine="422"/>
        <w:outlineLvl w:val="0"/>
        <w:rPr>
          <w:rFonts w:ascii="宋体" w:hAnsi="宋体" w:eastAsia="宋体"/>
          <w:b/>
          <w:sz w:val="21"/>
          <w:szCs w:val="21"/>
        </w:rPr>
      </w:pPr>
      <w:r>
        <w:rPr>
          <w:rFonts w:hint="eastAsia" w:ascii="宋体" w:hAnsi="宋体" w:eastAsia="宋体"/>
          <w:b/>
          <w:sz w:val="21"/>
          <w:szCs w:val="21"/>
        </w:rPr>
        <w:t>第十四条  其他约定事项</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1、本合同未尽事项，由甲、乙双方协商并签订书面补充合同/协议，补充合同/协议与本合同具有同等效力。</w:t>
      </w:r>
    </w:p>
    <w:p>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2、本合同壹式肆份，甲方执贰份，乙方执贰份，具有同等法律效力。本合同自甲、乙双方签字并盖公章或合同章后生效。</w:t>
      </w:r>
    </w:p>
    <w:p>
      <w:pPr>
        <w:spacing w:line="276" w:lineRule="auto"/>
        <w:ind w:firstLine="0" w:firstLineChars="0"/>
        <w:rPr>
          <w:rFonts w:ascii="宋体" w:hAnsi="宋体" w:eastAsia="宋体"/>
          <w:sz w:val="21"/>
          <w:szCs w:val="21"/>
        </w:rPr>
      </w:pPr>
    </w:p>
    <w:p>
      <w:pPr>
        <w:spacing w:line="276" w:lineRule="auto"/>
        <w:ind w:firstLine="0" w:firstLineChars="0"/>
        <w:jc w:val="center"/>
        <w:rPr>
          <w:rFonts w:ascii="宋体" w:hAnsi="宋体" w:eastAsia="宋体"/>
          <w:sz w:val="21"/>
          <w:szCs w:val="21"/>
        </w:rPr>
      </w:pPr>
      <w:r>
        <w:rPr>
          <w:rFonts w:hint="eastAsia" w:ascii="宋体" w:hAnsi="宋体" w:eastAsia="宋体"/>
          <w:sz w:val="21"/>
          <w:szCs w:val="21"/>
        </w:rPr>
        <w:t>（以下无正文）</w:t>
      </w:r>
    </w:p>
    <w:p>
      <w:pPr>
        <w:spacing w:line="276" w:lineRule="auto"/>
        <w:ind w:firstLine="0" w:firstLineChars="0"/>
        <w:rPr>
          <w:rFonts w:ascii="宋体" w:hAnsi="宋体" w:eastAsia="宋体"/>
          <w:sz w:val="21"/>
          <w:szCs w:val="21"/>
        </w:rPr>
      </w:pPr>
    </w:p>
    <w:p>
      <w:pPr>
        <w:spacing w:line="276" w:lineRule="auto"/>
        <w:ind w:firstLine="0" w:firstLineChars="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p>
    <w:p>
      <w:pPr>
        <w:ind w:firstLine="420"/>
        <w:rPr>
          <w:rFonts w:ascii="宋体" w:hAnsi="宋体" w:eastAsia="宋体"/>
          <w:sz w:val="21"/>
          <w:szCs w:val="21"/>
        </w:rPr>
      </w:pPr>
      <w:r>
        <w:rPr>
          <w:rFonts w:ascii="宋体" w:hAnsi="宋体" w:eastAsia="宋体"/>
          <w:sz w:val="21"/>
          <w:szCs w:val="21"/>
        </w:rPr>
        <w:br w:type="page"/>
      </w:r>
    </w:p>
    <w:p>
      <w:pPr>
        <w:spacing w:line="276" w:lineRule="auto"/>
        <w:ind w:firstLine="0" w:firstLineChars="0"/>
        <w:jc w:val="center"/>
        <w:rPr>
          <w:rFonts w:ascii="宋体" w:hAnsi="宋体" w:eastAsia="宋体"/>
          <w:sz w:val="21"/>
          <w:szCs w:val="21"/>
        </w:rPr>
      </w:pPr>
    </w:p>
    <w:p>
      <w:pPr>
        <w:spacing w:line="276" w:lineRule="auto"/>
        <w:ind w:firstLine="0" w:firstLineChars="0"/>
        <w:jc w:val="center"/>
        <w:rPr>
          <w:rFonts w:ascii="宋体" w:hAnsi="宋体" w:eastAsia="宋体"/>
          <w:sz w:val="21"/>
          <w:szCs w:val="21"/>
        </w:rPr>
      </w:pPr>
      <w:r>
        <w:rPr>
          <w:rFonts w:hint="eastAsia" w:ascii="宋体" w:hAnsi="宋体" w:eastAsia="宋体"/>
          <w:sz w:val="21"/>
          <w:szCs w:val="21"/>
        </w:rPr>
        <w:t>（盖章页，无正文）</w:t>
      </w:r>
    </w:p>
    <w:tbl>
      <w:tblPr>
        <w:tblStyle w:val="6"/>
        <w:tblpPr w:leftFromText="180" w:rightFromText="180" w:vertAnchor="text" w:horzAnchor="page" w:tblpXSpec="center" w:tblpY="44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48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
                <w:sz w:val="24"/>
              </w:rPr>
            </w:pPr>
            <w:r>
              <w:rPr>
                <w:rFonts w:hint="eastAsia" w:ascii="宋体" w:hAnsi="宋体" w:eastAsia="宋体"/>
                <w:b/>
                <w:sz w:val="24"/>
              </w:rPr>
              <w:t>甲方</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
                <w:sz w:val="24"/>
              </w:rPr>
            </w:pPr>
            <w:r>
              <w:rPr>
                <w:rFonts w:hint="eastAsia" w:ascii="宋体" w:hAnsi="宋体" w:eastAsia="宋体"/>
                <w:b/>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单位名称</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海垦润丰（屯昌）新型环保建材</w:t>
            </w:r>
          </w:p>
          <w:p>
            <w:pPr>
              <w:ind w:firstLine="0" w:firstLineChars="0"/>
              <w:jc w:val="center"/>
              <w:rPr>
                <w:rFonts w:ascii="宋体" w:hAnsi="宋体" w:eastAsia="宋体"/>
                <w:sz w:val="24"/>
              </w:rPr>
            </w:pPr>
            <w:r>
              <w:rPr>
                <w:rFonts w:hint="eastAsia" w:ascii="宋体" w:hAnsi="宋体" w:eastAsia="宋体"/>
                <w:sz w:val="24"/>
              </w:rPr>
              <w:t>有限公司（盖章）</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单位地址</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海南省屯昌县屯城镇</w:t>
            </w:r>
          </w:p>
          <w:p>
            <w:pPr>
              <w:ind w:firstLine="0" w:firstLineChars="0"/>
              <w:jc w:val="center"/>
              <w:rPr>
                <w:rFonts w:ascii="宋体" w:hAnsi="宋体" w:eastAsia="宋体"/>
                <w:sz w:val="24"/>
              </w:rPr>
            </w:pPr>
            <w:r>
              <w:rPr>
                <w:rFonts w:hint="eastAsia" w:ascii="宋体" w:hAnsi="宋体" w:eastAsia="宋体"/>
                <w:sz w:val="24"/>
              </w:rPr>
              <w:t>环东一路26号</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电   话</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0898-36811008</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开户银行</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银行账号</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统一社会信用代码</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法定代表人或委托代理人</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sz w:val="24"/>
              </w:rPr>
            </w:pPr>
            <w:r>
              <w:rPr>
                <w:rFonts w:hint="eastAsia" w:ascii="宋体" w:hAnsi="宋体" w:eastAsia="宋体"/>
                <w:sz w:val="24"/>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sz w:val="24"/>
              </w:rPr>
            </w:pPr>
            <w:r>
              <w:rPr>
                <w:rFonts w:hint="eastAsia" w:ascii="宋体" w:hAnsi="宋体" w:eastAsia="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sz w:val="24"/>
              </w:rPr>
            </w:pPr>
            <w:r>
              <w:rPr>
                <w:rFonts w:hint="eastAsia" w:ascii="宋体" w:hAnsi="宋体" w:eastAsia="宋体"/>
                <w:sz w:val="24"/>
              </w:rPr>
              <w:t>签订日期</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sz w:val="24"/>
              </w:rPr>
            </w:pPr>
            <w:r>
              <w:rPr>
                <w:rFonts w:hint="eastAsia" w:ascii="宋体" w:hAnsi="宋体" w:eastAsia="宋体"/>
                <w:sz w:val="24"/>
              </w:rPr>
              <w:t>年    月    日</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sz w:val="24"/>
              </w:rPr>
            </w:pPr>
            <w:r>
              <w:rPr>
                <w:rFonts w:hint="eastAsia" w:ascii="宋体" w:hAnsi="宋体" w:eastAsia="宋体"/>
                <w:sz w:val="24"/>
              </w:rPr>
              <w:t>年    月    日</w:t>
            </w:r>
          </w:p>
        </w:tc>
      </w:tr>
    </w:tbl>
    <w:p>
      <w:pPr>
        <w:spacing w:line="276" w:lineRule="auto"/>
        <w:ind w:firstLine="0" w:firstLineChars="0"/>
        <w:rPr>
          <w:rFonts w:ascii="宋体" w:hAnsi="宋体" w:eastAsia="宋体"/>
          <w:sz w:val="21"/>
          <w:szCs w:val="21"/>
        </w:rPr>
      </w:pPr>
      <w:r>
        <w:rPr>
          <w:rFonts w:ascii="宋体" w:hAnsi="宋体" w:eastAsia="宋体"/>
          <w:sz w:val="21"/>
          <w:szCs w:val="21"/>
        </w:rPr>
        <w:br w:type="page"/>
      </w:r>
      <w:r>
        <w:rPr>
          <w:rFonts w:hint="eastAsia" w:ascii="宋体" w:hAnsi="宋体" w:eastAsia="宋体"/>
          <w:sz w:val="21"/>
          <w:szCs w:val="21"/>
        </w:rPr>
        <w:t>附件1：乙方授权业务经办人联系卡</w:t>
      </w:r>
    </w:p>
    <w:tbl>
      <w:tblPr>
        <w:tblStyle w:val="5"/>
        <w:tblpPr w:leftFromText="180" w:rightFromText="180" w:vertAnchor="text" w:horzAnchor="margin" w:tblpXSpec="center" w:tblpY="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甲    方：</w:t>
            </w:r>
          </w:p>
          <w:p>
            <w:pPr>
              <w:widowControl/>
              <w:spacing w:line="276" w:lineRule="auto"/>
              <w:ind w:firstLine="0" w:firstLineChars="0"/>
              <w:jc w:val="left"/>
              <w:rPr>
                <w:rFonts w:ascii="宋体" w:hAnsi="宋体" w:eastAsia="宋体"/>
                <w:sz w:val="21"/>
                <w:szCs w:val="21"/>
              </w:rPr>
            </w:pPr>
            <w:r>
              <w:rPr>
                <w:rFonts w:hint="eastAsia" w:ascii="宋体" w:hAnsi="宋体" w:eastAsia="宋体" w:cs="宋体"/>
                <w:kern w:val="0"/>
                <w:sz w:val="21"/>
                <w:szCs w:val="21"/>
              </w:rPr>
              <w:t>开户银行：</w:t>
            </w:r>
          </w:p>
          <w:p>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账    号：</w:t>
            </w:r>
          </w:p>
        </w:tc>
        <w:tc>
          <w:tcPr>
            <w:tcW w:w="4979" w:type="dxa"/>
            <w:tcBorders>
              <w:top w:val="single" w:color="auto" w:sz="4" w:space="0"/>
              <w:left w:val="single" w:color="auto" w:sz="4" w:space="0"/>
              <w:right w:val="single" w:color="auto" w:sz="4" w:space="0"/>
            </w:tcBorders>
            <w:vAlign w:val="center"/>
          </w:tcPr>
          <w:p>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xml:space="preserve">乙 </w:t>
            </w:r>
            <w:r>
              <w:rPr>
                <w:rFonts w:ascii="宋体" w:hAnsi="宋体" w:eastAsia="宋体" w:cs="宋体"/>
                <w:kern w:val="0"/>
                <w:sz w:val="21"/>
                <w:szCs w:val="21"/>
              </w:rPr>
              <w:t xml:space="preserve">   </w:t>
            </w:r>
            <w:r>
              <w:rPr>
                <w:rFonts w:hint="eastAsia" w:ascii="宋体" w:hAnsi="宋体" w:eastAsia="宋体" w:cs="宋体"/>
                <w:kern w:val="0"/>
                <w:sz w:val="21"/>
                <w:szCs w:val="21"/>
              </w:rPr>
              <w:t>方：</w:t>
            </w:r>
          </w:p>
          <w:p>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开户银行：</w:t>
            </w:r>
          </w:p>
          <w:p>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xml:space="preserve">账 </w:t>
            </w:r>
            <w:r>
              <w:rPr>
                <w:rFonts w:ascii="宋体" w:hAnsi="宋体" w:eastAsia="宋体" w:cs="宋体"/>
                <w:kern w:val="0"/>
                <w:sz w:val="21"/>
                <w:szCs w:val="21"/>
              </w:rPr>
              <w:t xml:space="preserve">   </w:t>
            </w:r>
            <w:r>
              <w:rPr>
                <w:rFonts w:hint="eastAsia" w:ascii="宋体" w:hAnsi="宋体" w:eastAsia="宋体" w:cs="宋体"/>
                <w:kern w:val="0"/>
                <w:sz w:val="21"/>
                <w:szCs w:val="21"/>
              </w:rPr>
              <w:t>号：</w:t>
            </w:r>
          </w:p>
          <w:p>
            <w:pPr>
              <w:spacing w:line="276" w:lineRule="auto"/>
              <w:ind w:firstLine="0" w:firstLineChars="0"/>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5098" w:type="dxa"/>
            <w:tcBorders>
              <w:top w:val="single" w:color="auto" w:sz="4" w:space="0"/>
              <w:left w:val="single" w:color="auto" w:sz="4" w:space="0"/>
              <w:bottom w:val="single" w:color="auto" w:sz="4" w:space="0"/>
              <w:right w:val="single" w:color="auto" w:sz="4" w:space="0"/>
            </w:tcBorders>
          </w:tcPr>
          <w:p>
            <w:pPr>
              <w:spacing w:line="276" w:lineRule="auto"/>
              <w:ind w:firstLine="0" w:firstLineChars="0"/>
              <w:rPr>
                <w:rFonts w:ascii="宋体" w:hAnsi="宋体" w:eastAsia="宋体"/>
                <w:b/>
                <w:bCs/>
                <w:sz w:val="21"/>
                <w:szCs w:val="21"/>
              </w:rPr>
            </w:pPr>
            <w:r>
              <w:rPr>
                <w:rFonts w:hint="eastAsia" w:ascii="宋体" w:hAnsi="宋体" w:eastAsia="宋体"/>
                <w:b/>
                <w:bCs/>
                <w:sz w:val="21"/>
                <w:szCs w:val="21"/>
              </w:rPr>
              <w:t>法定代表人/授权代表（签字）：</w:t>
            </w:r>
          </w:p>
        </w:tc>
        <w:tc>
          <w:tcPr>
            <w:tcW w:w="4979" w:type="dxa"/>
            <w:tcBorders>
              <w:top w:val="single" w:color="auto" w:sz="4" w:space="0"/>
              <w:left w:val="single" w:color="auto" w:sz="4" w:space="0"/>
              <w:bottom w:val="single" w:color="auto" w:sz="4" w:space="0"/>
              <w:right w:val="single" w:color="auto" w:sz="4" w:space="0"/>
            </w:tcBorders>
          </w:tcPr>
          <w:p>
            <w:pPr>
              <w:widowControl/>
              <w:spacing w:line="276" w:lineRule="auto"/>
              <w:ind w:firstLine="0" w:firstLineChars="0"/>
              <w:jc w:val="left"/>
              <w:rPr>
                <w:rFonts w:ascii="宋体" w:hAnsi="宋体" w:eastAsia="宋体" w:cs="宋体"/>
                <w:b/>
                <w:bCs/>
                <w:kern w:val="0"/>
                <w:sz w:val="21"/>
                <w:szCs w:val="21"/>
              </w:rPr>
            </w:pPr>
            <w:r>
              <w:rPr>
                <w:rFonts w:hint="eastAsia" w:ascii="宋体" w:hAnsi="宋体" w:eastAsia="宋体"/>
                <w:b/>
                <w:bCs/>
                <w:sz w:val="21"/>
                <w:szCs w:val="21"/>
              </w:rPr>
              <w:t xml:space="preserve">法定代表人/授权代表（签字）：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077" w:type="dxa"/>
            <w:gridSpan w:val="2"/>
            <w:tcBorders>
              <w:top w:val="single" w:color="auto" w:sz="4" w:space="0"/>
              <w:left w:val="single" w:color="auto" w:sz="4" w:space="0"/>
              <w:bottom w:val="single" w:color="auto" w:sz="4" w:space="0"/>
              <w:right w:val="single" w:color="auto" w:sz="4" w:space="0"/>
            </w:tcBorders>
            <w:vAlign w:val="bottom"/>
          </w:tcPr>
          <w:p>
            <w:pPr>
              <w:spacing w:line="360" w:lineRule="auto"/>
              <w:ind w:firstLine="0" w:firstLineChars="0"/>
              <w:jc w:val="center"/>
              <w:rPr>
                <w:rFonts w:ascii="宋体" w:hAnsi="宋体" w:eastAsia="宋体" w:cs="宋体"/>
                <w:sz w:val="21"/>
                <w:szCs w:val="21"/>
              </w:rPr>
            </w:pPr>
            <w:r>
              <w:rPr>
                <w:rFonts w:hint="eastAsia" w:ascii="宋体" w:hAnsi="宋体" w:eastAsia="宋体" w:cs="宋体"/>
                <w:sz w:val="21"/>
                <w:szCs w:val="21"/>
              </w:rPr>
              <w:t>签订日期：</w:t>
            </w:r>
            <w:r>
              <w:rPr>
                <w:rFonts w:ascii="宋体" w:hAnsi="宋体" w:eastAsia="宋体" w:cs="宋体"/>
                <w:sz w:val="21"/>
                <w:szCs w:val="21"/>
              </w:rPr>
              <w:t>20</w:t>
            </w:r>
            <w:r>
              <w:rPr>
                <w:rFonts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rPr>
              <w:t>日</w:t>
            </w:r>
          </w:p>
        </w:tc>
      </w:tr>
    </w:tbl>
    <w:p>
      <w:pPr>
        <w:spacing w:line="276" w:lineRule="auto"/>
        <w:ind w:firstLine="0" w:firstLineChars="0"/>
        <w:rPr>
          <w:rFonts w:ascii="宋体" w:hAnsi="宋体" w:eastAsia="宋体" w:cs="宋体"/>
          <w:sz w:val="21"/>
          <w:szCs w:val="21"/>
        </w:rPr>
      </w:pPr>
    </w:p>
    <w:p>
      <w:pPr>
        <w:pageBreakBefore/>
        <w:spacing w:line="276" w:lineRule="auto"/>
        <w:ind w:firstLine="0" w:firstLineChars="0"/>
        <w:rPr>
          <w:rFonts w:ascii="宋体" w:hAnsi="宋体" w:eastAsia="宋体"/>
          <w:b/>
          <w:sz w:val="21"/>
          <w:szCs w:val="21"/>
        </w:rPr>
      </w:pPr>
      <w:r>
        <w:rPr>
          <w:rFonts w:hint="eastAsia" w:ascii="宋体" w:hAnsi="宋体" w:eastAsia="宋体"/>
          <w:b/>
          <w:sz w:val="21"/>
          <w:szCs w:val="21"/>
        </w:rPr>
        <w:t>附件2</w:t>
      </w:r>
    </w:p>
    <w:p>
      <w:pPr>
        <w:spacing w:line="276" w:lineRule="auto"/>
        <w:ind w:firstLine="0" w:firstLineChars="0"/>
        <w:jc w:val="center"/>
        <w:rPr>
          <w:rFonts w:ascii="宋体" w:hAnsi="宋体" w:eastAsia="宋体"/>
          <w:b/>
          <w:sz w:val="21"/>
          <w:szCs w:val="21"/>
        </w:rPr>
      </w:pPr>
      <w:r>
        <w:rPr>
          <w:rFonts w:hint="eastAsia" w:ascii="宋体" w:hAnsi="宋体" w:eastAsia="宋体"/>
          <w:b/>
          <w:sz w:val="21"/>
          <w:szCs w:val="21"/>
        </w:rPr>
        <w:t>乙方授权业务经办人员联系卡</w:t>
      </w:r>
    </w:p>
    <w:tbl>
      <w:tblPr>
        <w:tblStyle w:val="5"/>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8"/>
        <w:gridCol w:w="1654"/>
        <w:gridCol w:w="1701"/>
        <w:gridCol w:w="278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06" w:type="dxa"/>
            <w:vAlign w:val="center"/>
          </w:tcPr>
          <w:p>
            <w:pPr>
              <w:widowControl/>
              <w:spacing w:line="276" w:lineRule="auto"/>
              <w:ind w:left="-284" w:leftChars="-245" w:hanging="451" w:hangingChars="215"/>
              <w:jc w:val="center"/>
              <w:rPr>
                <w:rFonts w:ascii="宋体" w:hAnsi="宋体" w:eastAsia="宋体"/>
                <w:kern w:val="0"/>
                <w:sz w:val="21"/>
                <w:szCs w:val="21"/>
              </w:rPr>
            </w:pPr>
            <w:r>
              <w:rPr>
                <w:rFonts w:hint="eastAsia" w:ascii="宋体" w:hAnsi="宋体" w:eastAsia="宋体"/>
                <w:kern w:val="0"/>
                <w:sz w:val="21"/>
                <w:szCs w:val="21"/>
              </w:rPr>
              <w:t>职务</w:t>
            </w:r>
          </w:p>
        </w:tc>
        <w:tc>
          <w:tcPr>
            <w:tcW w:w="1218" w:type="dxa"/>
            <w:vAlign w:val="center"/>
          </w:tcPr>
          <w:p>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姓名</w:t>
            </w:r>
          </w:p>
        </w:tc>
        <w:tc>
          <w:tcPr>
            <w:tcW w:w="1654" w:type="dxa"/>
            <w:vAlign w:val="center"/>
          </w:tcPr>
          <w:p>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电话</w:t>
            </w:r>
          </w:p>
        </w:tc>
        <w:tc>
          <w:tcPr>
            <w:tcW w:w="1701" w:type="dxa"/>
            <w:vAlign w:val="center"/>
          </w:tcPr>
          <w:p>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邮箱地址</w:t>
            </w:r>
          </w:p>
        </w:tc>
        <w:tc>
          <w:tcPr>
            <w:tcW w:w="2788" w:type="dxa"/>
            <w:vAlign w:val="center"/>
          </w:tcPr>
          <w:p>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身份证号码</w:t>
            </w:r>
          </w:p>
        </w:tc>
        <w:tc>
          <w:tcPr>
            <w:tcW w:w="1612" w:type="dxa"/>
            <w:vAlign w:val="center"/>
          </w:tcPr>
          <w:p>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签名并按手印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调价函接收/签认人</w:t>
            </w:r>
          </w:p>
        </w:tc>
        <w:tc>
          <w:tcPr>
            <w:tcW w:w="1218" w:type="dxa"/>
            <w:vAlign w:val="center"/>
          </w:tcPr>
          <w:p>
            <w:pPr>
              <w:widowControl/>
              <w:spacing w:line="276" w:lineRule="auto"/>
              <w:ind w:firstLine="0" w:firstLineChars="0"/>
              <w:jc w:val="center"/>
              <w:rPr>
                <w:rFonts w:ascii="宋体" w:hAnsi="宋体" w:eastAsia="宋体"/>
                <w:kern w:val="0"/>
                <w:sz w:val="21"/>
                <w:szCs w:val="21"/>
              </w:rPr>
            </w:pPr>
          </w:p>
        </w:tc>
        <w:tc>
          <w:tcPr>
            <w:tcW w:w="1654" w:type="dxa"/>
            <w:vAlign w:val="center"/>
          </w:tcPr>
          <w:p>
            <w:pPr>
              <w:widowControl/>
              <w:spacing w:line="276" w:lineRule="auto"/>
              <w:ind w:firstLine="0" w:firstLineChars="0"/>
              <w:jc w:val="center"/>
              <w:rPr>
                <w:rFonts w:ascii="宋体" w:hAnsi="宋体" w:eastAsia="宋体"/>
                <w:kern w:val="0"/>
                <w:sz w:val="21"/>
                <w:szCs w:val="21"/>
              </w:rPr>
            </w:pPr>
          </w:p>
        </w:tc>
        <w:tc>
          <w:tcPr>
            <w:tcW w:w="1701" w:type="dxa"/>
            <w:vAlign w:val="center"/>
          </w:tcPr>
          <w:p>
            <w:pPr>
              <w:widowControl/>
              <w:spacing w:line="276" w:lineRule="auto"/>
              <w:ind w:firstLine="0" w:firstLineChars="0"/>
              <w:jc w:val="center"/>
              <w:rPr>
                <w:rFonts w:ascii="宋体" w:hAnsi="宋体" w:eastAsia="宋体"/>
                <w:kern w:val="0"/>
                <w:sz w:val="21"/>
                <w:szCs w:val="21"/>
              </w:rPr>
            </w:pPr>
          </w:p>
        </w:tc>
        <w:tc>
          <w:tcPr>
            <w:tcW w:w="2788" w:type="dxa"/>
            <w:vAlign w:val="center"/>
          </w:tcPr>
          <w:p>
            <w:pPr>
              <w:widowControl/>
              <w:spacing w:line="276" w:lineRule="auto"/>
              <w:ind w:firstLine="0" w:firstLineChars="0"/>
              <w:jc w:val="center"/>
              <w:rPr>
                <w:rFonts w:ascii="宋体" w:hAnsi="宋体" w:eastAsia="宋体"/>
                <w:kern w:val="0"/>
                <w:sz w:val="21"/>
                <w:szCs w:val="21"/>
              </w:rPr>
            </w:pPr>
          </w:p>
        </w:tc>
        <w:tc>
          <w:tcPr>
            <w:tcW w:w="1612" w:type="dxa"/>
            <w:vAlign w:val="center"/>
          </w:tcPr>
          <w:p>
            <w:pPr>
              <w:widowControl/>
              <w:spacing w:line="276" w:lineRule="auto"/>
              <w:ind w:firstLine="0" w:firstLineChars="0"/>
              <w:jc w:val="center"/>
              <w:rPr>
                <w:rFonts w:ascii="宋体" w:hAnsi="宋体"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合同及补充协议授权签订人</w:t>
            </w:r>
          </w:p>
        </w:tc>
        <w:tc>
          <w:tcPr>
            <w:tcW w:w="1218" w:type="dxa"/>
            <w:vAlign w:val="center"/>
          </w:tcPr>
          <w:p>
            <w:pPr>
              <w:widowControl/>
              <w:spacing w:line="276" w:lineRule="auto"/>
              <w:ind w:firstLine="0" w:firstLineChars="0"/>
              <w:jc w:val="center"/>
              <w:rPr>
                <w:rFonts w:ascii="宋体" w:hAnsi="宋体" w:eastAsia="宋体"/>
                <w:kern w:val="0"/>
                <w:sz w:val="21"/>
                <w:szCs w:val="21"/>
              </w:rPr>
            </w:pPr>
          </w:p>
        </w:tc>
        <w:tc>
          <w:tcPr>
            <w:tcW w:w="1654" w:type="dxa"/>
            <w:vAlign w:val="center"/>
          </w:tcPr>
          <w:p>
            <w:pPr>
              <w:widowControl/>
              <w:spacing w:line="276" w:lineRule="auto"/>
              <w:ind w:firstLine="0" w:firstLineChars="0"/>
              <w:jc w:val="center"/>
              <w:rPr>
                <w:rFonts w:ascii="宋体" w:hAnsi="宋体" w:eastAsia="宋体"/>
                <w:kern w:val="0"/>
                <w:sz w:val="21"/>
                <w:szCs w:val="21"/>
              </w:rPr>
            </w:pPr>
          </w:p>
        </w:tc>
        <w:tc>
          <w:tcPr>
            <w:tcW w:w="1701" w:type="dxa"/>
            <w:vAlign w:val="center"/>
          </w:tcPr>
          <w:p>
            <w:pPr>
              <w:widowControl/>
              <w:spacing w:line="276" w:lineRule="auto"/>
              <w:ind w:firstLine="0" w:firstLineChars="0"/>
              <w:jc w:val="center"/>
              <w:rPr>
                <w:rFonts w:ascii="宋体" w:hAnsi="宋体" w:eastAsia="宋体"/>
                <w:kern w:val="0"/>
                <w:sz w:val="21"/>
                <w:szCs w:val="21"/>
              </w:rPr>
            </w:pPr>
          </w:p>
        </w:tc>
        <w:tc>
          <w:tcPr>
            <w:tcW w:w="2788" w:type="dxa"/>
            <w:vAlign w:val="center"/>
          </w:tcPr>
          <w:p>
            <w:pPr>
              <w:widowControl/>
              <w:spacing w:line="276" w:lineRule="auto"/>
              <w:ind w:firstLine="0" w:firstLineChars="0"/>
              <w:jc w:val="center"/>
              <w:rPr>
                <w:rFonts w:ascii="宋体" w:hAnsi="宋体" w:eastAsia="宋体"/>
                <w:kern w:val="0"/>
                <w:sz w:val="21"/>
                <w:szCs w:val="21"/>
              </w:rPr>
            </w:pPr>
          </w:p>
        </w:tc>
        <w:tc>
          <w:tcPr>
            <w:tcW w:w="1612" w:type="dxa"/>
            <w:vAlign w:val="center"/>
          </w:tcPr>
          <w:p>
            <w:pPr>
              <w:widowControl/>
              <w:spacing w:line="276" w:lineRule="auto"/>
              <w:ind w:firstLine="0" w:firstLineChars="0"/>
              <w:jc w:val="center"/>
              <w:rPr>
                <w:rFonts w:ascii="宋体" w:hAnsi="宋体"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kern w:val="0"/>
                <w:sz w:val="21"/>
                <w:szCs w:val="21"/>
              </w:rPr>
            </w:pPr>
          </w:p>
        </w:tc>
        <w:tc>
          <w:tcPr>
            <w:tcW w:w="1218" w:type="dxa"/>
            <w:vAlign w:val="center"/>
          </w:tcPr>
          <w:p>
            <w:pPr>
              <w:widowControl/>
              <w:spacing w:line="276" w:lineRule="auto"/>
              <w:ind w:firstLine="0" w:firstLineChars="0"/>
              <w:jc w:val="center"/>
              <w:rPr>
                <w:rFonts w:ascii="宋体" w:hAnsi="宋体" w:eastAsia="宋体"/>
                <w:kern w:val="0"/>
                <w:sz w:val="21"/>
                <w:szCs w:val="21"/>
              </w:rPr>
            </w:pPr>
          </w:p>
        </w:tc>
        <w:tc>
          <w:tcPr>
            <w:tcW w:w="1654" w:type="dxa"/>
            <w:vAlign w:val="center"/>
          </w:tcPr>
          <w:p>
            <w:pPr>
              <w:widowControl/>
              <w:spacing w:line="276" w:lineRule="auto"/>
              <w:ind w:firstLine="0" w:firstLineChars="0"/>
              <w:jc w:val="center"/>
              <w:rPr>
                <w:rFonts w:ascii="宋体" w:hAnsi="宋体" w:eastAsia="宋体"/>
                <w:kern w:val="0"/>
                <w:sz w:val="21"/>
                <w:szCs w:val="21"/>
              </w:rPr>
            </w:pPr>
          </w:p>
        </w:tc>
        <w:tc>
          <w:tcPr>
            <w:tcW w:w="1701" w:type="dxa"/>
            <w:vAlign w:val="center"/>
          </w:tcPr>
          <w:p>
            <w:pPr>
              <w:widowControl/>
              <w:spacing w:line="276" w:lineRule="auto"/>
              <w:ind w:firstLine="0" w:firstLineChars="0"/>
              <w:jc w:val="center"/>
              <w:rPr>
                <w:rFonts w:ascii="宋体" w:hAnsi="宋体" w:eastAsia="宋体"/>
                <w:kern w:val="0"/>
                <w:sz w:val="21"/>
                <w:szCs w:val="21"/>
              </w:rPr>
            </w:pPr>
          </w:p>
        </w:tc>
        <w:tc>
          <w:tcPr>
            <w:tcW w:w="2788" w:type="dxa"/>
            <w:vAlign w:val="center"/>
          </w:tcPr>
          <w:p>
            <w:pPr>
              <w:widowControl/>
              <w:spacing w:line="276" w:lineRule="auto"/>
              <w:ind w:firstLine="0" w:firstLineChars="0"/>
              <w:jc w:val="center"/>
              <w:rPr>
                <w:rFonts w:ascii="宋体" w:hAnsi="宋体" w:eastAsia="宋体"/>
                <w:kern w:val="0"/>
                <w:sz w:val="21"/>
                <w:szCs w:val="21"/>
              </w:rPr>
            </w:pPr>
          </w:p>
        </w:tc>
        <w:tc>
          <w:tcPr>
            <w:tcW w:w="1612" w:type="dxa"/>
            <w:vAlign w:val="center"/>
          </w:tcPr>
          <w:p>
            <w:pPr>
              <w:widowControl/>
              <w:spacing w:line="276" w:lineRule="auto"/>
              <w:ind w:firstLine="0" w:firstLineChars="0"/>
              <w:jc w:val="center"/>
              <w:rPr>
                <w:rFonts w:ascii="宋体" w:hAnsi="宋体"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kern w:val="0"/>
                <w:sz w:val="21"/>
                <w:szCs w:val="21"/>
              </w:rPr>
            </w:pPr>
          </w:p>
        </w:tc>
        <w:tc>
          <w:tcPr>
            <w:tcW w:w="1218" w:type="dxa"/>
            <w:vAlign w:val="center"/>
          </w:tcPr>
          <w:p>
            <w:pPr>
              <w:widowControl/>
              <w:spacing w:line="276" w:lineRule="auto"/>
              <w:ind w:firstLine="0" w:firstLineChars="0"/>
              <w:jc w:val="center"/>
              <w:rPr>
                <w:rFonts w:ascii="宋体" w:hAnsi="宋体" w:eastAsia="宋体"/>
                <w:kern w:val="0"/>
                <w:sz w:val="21"/>
                <w:szCs w:val="21"/>
              </w:rPr>
            </w:pPr>
          </w:p>
        </w:tc>
        <w:tc>
          <w:tcPr>
            <w:tcW w:w="1654" w:type="dxa"/>
            <w:vAlign w:val="center"/>
          </w:tcPr>
          <w:p>
            <w:pPr>
              <w:widowControl/>
              <w:spacing w:line="276" w:lineRule="auto"/>
              <w:ind w:firstLine="0" w:firstLineChars="0"/>
              <w:jc w:val="center"/>
              <w:rPr>
                <w:rFonts w:ascii="宋体" w:hAnsi="宋体" w:eastAsia="宋体"/>
                <w:kern w:val="0"/>
                <w:sz w:val="21"/>
                <w:szCs w:val="21"/>
              </w:rPr>
            </w:pPr>
          </w:p>
        </w:tc>
        <w:tc>
          <w:tcPr>
            <w:tcW w:w="1701" w:type="dxa"/>
            <w:vAlign w:val="center"/>
          </w:tcPr>
          <w:p>
            <w:pPr>
              <w:widowControl/>
              <w:spacing w:line="276" w:lineRule="auto"/>
              <w:ind w:firstLine="0" w:firstLineChars="0"/>
              <w:jc w:val="center"/>
              <w:rPr>
                <w:rFonts w:ascii="宋体" w:hAnsi="宋体" w:eastAsia="宋体"/>
                <w:kern w:val="0"/>
                <w:sz w:val="21"/>
                <w:szCs w:val="21"/>
              </w:rPr>
            </w:pPr>
          </w:p>
        </w:tc>
        <w:tc>
          <w:tcPr>
            <w:tcW w:w="2788" w:type="dxa"/>
            <w:vAlign w:val="center"/>
          </w:tcPr>
          <w:p>
            <w:pPr>
              <w:widowControl/>
              <w:spacing w:line="276" w:lineRule="auto"/>
              <w:ind w:firstLine="0" w:firstLineChars="0"/>
              <w:jc w:val="center"/>
              <w:rPr>
                <w:rFonts w:ascii="宋体" w:hAnsi="宋体" w:eastAsia="宋体"/>
                <w:kern w:val="0"/>
                <w:sz w:val="21"/>
                <w:szCs w:val="21"/>
              </w:rPr>
            </w:pPr>
          </w:p>
        </w:tc>
        <w:tc>
          <w:tcPr>
            <w:tcW w:w="1612" w:type="dxa"/>
            <w:vAlign w:val="center"/>
          </w:tcPr>
          <w:p>
            <w:pPr>
              <w:widowControl/>
              <w:spacing w:line="276" w:lineRule="auto"/>
              <w:ind w:firstLine="0" w:firstLineChars="0"/>
              <w:jc w:val="center"/>
              <w:rPr>
                <w:rFonts w:ascii="宋体" w:hAnsi="宋体"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06" w:type="dxa"/>
            <w:vAlign w:val="center"/>
          </w:tcPr>
          <w:p>
            <w:pPr>
              <w:widowControl/>
              <w:spacing w:line="276" w:lineRule="auto"/>
              <w:ind w:firstLine="0" w:firstLineChars="0"/>
              <w:jc w:val="center"/>
              <w:rPr>
                <w:rFonts w:ascii="宋体" w:hAnsi="宋体" w:eastAsia="宋体"/>
                <w:kern w:val="0"/>
                <w:sz w:val="21"/>
                <w:szCs w:val="21"/>
              </w:rPr>
            </w:pPr>
          </w:p>
        </w:tc>
        <w:tc>
          <w:tcPr>
            <w:tcW w:w="1218" w:type="dxa"/>
            <w:vAlign w:val="center"/>
          </w:tcPr>
          <w:p>
            <w:pPr>
              <w:widowControl/>
              <w:spacing w:line="276" w:lineRule="auto"/>
              <w:ind w:firstLine="0" w:firstLineChars="0"/>
              <w:jc w:val="center"/>
              <w:rPr>
                <w:rFonts w:ascii="宋体" w:hAnsi="宋体" w:eastAsia="宋体"/>
                <w:kern w:val="0"/>
                <w:sz w:val="21"/>
                <w:szCs w:val="21"/>
              </w:rPr>
            </w:pPr>
          </w:p>
        </w:tc>
        <w:tc>
          <w:tcPr>
            <w:tcW w:w="1654" w:type="dxa"/>
            <w:vAlign w:val="center"/>
          </w:tcPr>
          <w:p>
            <w:pPr>
              <w:widowControl/>
              <w:spacing w:line="276" w:lineRule="auto"/>
              <w:ind w:firstLine="0" w:firstLineChars="0"/>
              <w:jc w:val="center"/>
              <w:rPr>
                <w:rFonts w:ascii="宋体" w:hAnsi="宋体" w:eastAsia="宋体"/>
                <w:kern w:val="0"/>
                <w:sz w:val="21"/>
                <w:szCs w:val="21"/>
              </w:rPr>
            </w:pPr>
          </w:p>
        </w:tc>
        <w:tc>
          <w:tcPr>
            <w:tcW w:w="1701" w:type="dxa"/>
            <w:vAlign w:val="center"/>
          </w:tcPr>
          <w:p>
            <w:pPr>
              <w:widowControl/>
              <w:spacing w:line="276" w:lineRule="auto"/>
              <w:ind w:firstLine="0" w:firstLineChars="0"/>
              <w:jc w:val="center"/>
              <w:rPr>
                <w:rFonts w:ascii="宋体" w:hAnsi="宋体" w:eastAsia="宋体"/>
                <w:kern w:val="0"/>
                <w:sz w:val="21"/>
                <w:szCs w:val="21"/>
              </w:rPr>
            </w:pPr>
          </w:p>
        </w:tc>
        <w:tc>
          <w:tcPr>
            <w:tcW w:w="2788" w:type="dxa"/>
            <w:vAlign w:val="center"/>
          </w:tcPr>
          <w:p>
            <w:pPr>
              <w:widowControl/>
              <w:spacing w:line="276" w:lineRule="auto"/>
              <w:ind w:firstLine="0" w:firstLineChars="0"/>
              <w:jc w:val="center"/>
              <w:rPr>
                <w:rFonts w:ascii="宋体" w:hAnsi="宋体" w:eastAsia="宋体"/>
                <w:kern w:val="0"/>
                <w:sz w:val="21"/>
                <w:szCs w:val="21"/>
              </w:rPr>
            </w:pPr>
          </w:p>
        </w:tc>
        <w:tc>
          <w:tcPr>
            <w:tcW w:w="1612" w:type="dxa"/>
            <w:vAlign w:val="center"/>
          </w:tcPr>
          <w:p>
            <w:pPr>
              <w:widowControl/>
              <w:spacing w:line="276" w:lineRule="auto"/>
              <w:ind w:firstLine="0" w:firstLineChars="0"/>
              <w:jc w:val="center"/>
              <w:rPr>
                <w:rFonts w:ascii="宋体" w:hAnsi="宋体" w:eastAsia="宋体"/>
                <w:kern w:val="0"/>
                <w:sz w:val="21"/>
                <w:szCs w:val="21"/>
              </w:rPr>
            </w:pPr>
          </w:p>
        </w:tc>
      </w:tr>
    </w:tbl>
    <w:p>
      <w:pPr>
        <w:spacing w:line="276" w:lineRule="auto"/>
        <w:ind w:firstLine="0" w:firstLineChars="0"/>
        <w:rPr>
          <w:rFonts w:ascii="宋体" w:hAnsi="宋体" w:eastAsia="宋体"/>
          <w:sz w:val="21"/>
          <w:szCs w:val="21"/>
        </w:rPr>
      </w:pPr>
    </w:p>
    <w:p>
      <w:pPr>
        <w:spacing w:line="276" w:lineRule="auto"/>
        <w:ind w:firstLine="0" w:firstLineChars="0"/>
        <w:jc w:val="center"/>
        <w:rPr>
          <w:rFonts w:ascii="宋体" w:hAnsi="宋体" w:eastAsia="宋体"/>
          <w:sz w:val="21"/>
          <w:szCs w:val="21"/>
        </w:rPr>
      </w:pPr>
      <w:r>
        <w:rPr>
          <w:rFonts w:ascii="宋体" w:hAnsi="宋体" w:eastAsia="宋体"/>
          <w:sz w:val="21"/>
          <w:szCs w:val="21"/>
        </w:rPr>
        <w:t xml:space="preserve">                                             </w:t>
      </w:r>
    </w:p>
    <w:p>
      <w:pPr>
        <w:spacing w:line="276" w:lineRule="auto"/>
        <w:ind w:firstLine="0" w:firstLineChars="0"/>
        <w:jc w:val="center"/>
        <w:rPr>
          <w:rFonts w:ascii="宋体" w:hAnsi="宋体" w:eastAsia="宋体"/>
          <w:sz w:val="21"/>
          <w:szCs w:val="21"/>
          <w:u w:val="single"/>
        </w:rPr>
      </w:pP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乙方：（加盖公章） </w:t>
      </w:r>
    </w:p>
    <w:p>
      <w:pPr>
        <w:spacing w:line="276" w:lineRule="auto"/>
        <w:ind w:firstLine="0" w:firstLineChars="0"/>
        <w:jc w:val="right"/>
        <w:rPr>
          <w:rFonts w:ascii="宋体" w:hAnsi="宋体" w:eastAsia="宋体"/>
          <w:sz w:val="21"/>
          <w:szCs w:val="21"/>
        </w:rPr>
      </w:pPr>
    </w:p>
    <w:p>
      <w:pPr>
        <w:spacing w:line="276" w:lineRule="auto"/>
        <w:ind w:right="210" w:firstLine="0" w:firstLineChars="0"/>
        <w:jc w:val="right"/>
        <w:rPr>
          <w:rFonts w:ascii="宋体" w:hAnsi="宋体" w:eastAsia="宋体"/>
          <w:sz w:val="21"/>
          <w:szCs w:val="21"/>
        </w:rPr>
      </w:pPr>
      <w:r>
        <w:rPr>
          <w:rFonts w:hint="eastAsia" w:ascii="宋体" w:hAnsi="宋体" w:eastAsia="宋体"/>
          <w:sz w:val="21"/>
          <w:szCs w:val="21"/>
        </w:rPr>
        <w:t>授权期限：20</w:t>
      </w:r>
      <w:r>
        <w:rPr>
          <w:rFonts w:ascii="宋体" w:hAnsi="宋体" w:eastAsia="宋体"/>
          <w:sz w:val="21"/>
          <w:szCs w:val="21"/>
          <w:u w:val="single"/>
        </w:rPr>
        <w:t xml:space="preserve">  </w:t>
      </w:r>
      <w:r>
        <w:rPr>
          <w:rFonts w:hint="eastAsia" w:ascii="宋体" w:hAnsi="宋体" w:eastAsia="宋体"/>
          <w:sz w:val="21"/>
          <w:szCs w:val="21"/>
        </w:rPr>
        <w:t>年</w:t>
      </w:r>
      <w:r>
        <w:rPr>
          <w:rFonts w:ascii="宋体" w:hAnsi="宋体" w:eastAsia="宋体"/>
          <w:sz w:val="21"/>
          <w:szCs w:val="21"/>
          <w:u w:val="single"/>
        </w:rPr>
        <w:t xml:space="preserve">  </w:t>
      </w:r>
      <w:r>
        <w:rPr>
          <w:rFonts w:hint="eastAsia" w:ascii="宋体" w:hAnsi="宋体" w:eastAsia="宋体"/>
          <w:sz w:val="21"/>
          <w:szCs w:val="21"/>
        </w:rPr>
        <w:t>月</w:t>
      </w:r>
      <w:r>
        <w:rPr>
          <w:rFonts w:ascii="宋体" w:hAnsi="宋体" w:eastAsia="宋体"/>
          <w:sz w:val="21"/>
          <w:szCs w:val="21"/>
          <w:u w:val="single"/>
        </w:rPr>
        <w:t xml:space="preserve">  </w:t>
      </w:r>
      <w:r>
        <w:rPr>
          <w:rFonts w:hint="eastAsia" w:ascii="宋体" w:hAnsi="宋体" w:eastAsia="宋体"/>
          <w:sz w:val="21"/>
          <w:szCs w:val="21"/>
        </w:rPr>
        <w:t>日至20</w:t>
      </w:r>
      <w:r>
        <w:rPr>
          <w:rFonts w:ascii="宋体" w:hAnsi="宋体" w:eastAsia="宋体"/>
          <w:sz w:val="21"/>
          <w:szCs w:val="21"/>
          <w:u w:val="single"/>
        </w:rPr>
        <w:t xml:space="preserve">  </w:t>
      </w:r>
      <w:r>
        <w:rPr>
          <w:rFonts w:hint="eastAsia" w:ascii="宋体" w:hAnsi="宋体" w:eastAsia="宋体"/>
          <w:sz w:val="21"/>
          <w:szCs w:val="21"/>
        </w:rPr>
        <w:t>年</w:t>
      </w:r>
      <w:r>
        <w:rPr>
          <w:rFonts w:ascii="宋体" w:hAnsi="宋体" w:eastAsia="宋体"/>
          <w:sz w:val="21"/>
          <w:szCs w:val="21"/>
          <w:u w:val="single"/>
        </w:rPr>
        <w:t xml:space="preserve">  </w:t>
      </w:r>
      <w:r>
        <w:rPr>
          <w:rFonts w:hint="eastAsia" w:ascii="宋体" w:hAnsi="宋体" w:eastAsia="宋体"/>
          <w:sz w:val="21"/>
          <w:szCs w:val="21"/>
        </w:rPr>
        <w:t>月</w:t>
      </w:r>
      <w:r>
        <w:rPr>
          <w:rFonts w:ascii="宋体" w:hAnsi="宋体" w:eastAsia="宋体"/>
          <w:sz w:val="21"/>
          <w:szCs w:val="21"/>
          <w:u w:val="single"/>
        </w:rPr>
        <w:t xml:space="preserve">  </w:t>
      </w:r>
      <w:r>
        <w:rPr>
          <w:rFonts w:hint="eastAsia" w:ascii="宋体" w:hAnsi="宋体" w:eastAsia="宋体"/>
          <w:sz w:val="21"/>
          <w:szCs w:val="21"/>
        </w:rPr>
        <w:t>日</w:t>
      </w:r>
    </w:p>
    <w:p>
      <w:pPr>
        <w:spacing w:line="276" w:lineRule="auto"/>
        <w:ind w:firstLine="420"/>
        <w:jc w:val="left"/>
        <w:rPr>
          <w:rFonts w:ascii="宋体" w:hAnsi="宋体" w:eastAsia="宋体"/>
          <w:sz w:val="21"/>
          <w:szCs w:val="21"/>
        </w:rPr>
      </w:pPr>
    </w:p>
    <w:p>
      <w:pPr>
        <w:spacing w:line="276" w:lineRule="auto"/>
        <w:ind w:firstLine="420"/>
        <w:jc w:val="left"/>
        <w:rPr>
          <w:rFonts w:ascii="宋体" w:hAnsi="宋体" w:eastAsia="宋体"/>
          <w:sz w:val="21"/>
          <w:szCs w:val="21"/>
        </w:rPr>
      </w:pPr>
    </w:p>
    <w:p>
      <w:pPr>
        <w:pStyle w:val="2"/>
        <w:ind w:firstLine="0" w:firstLineChars="0"/>
      </w:pPr>
    </w:p>
    <w:p>
      <w:pPr>
        <w:ind w:firstLine="600"/>
      </w:pPr>
    </w:p>
    <w:p>
      <w:pPr>
        <w:ind w:firstLine="60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68425"/>
    <w:multiLevelType w:val="singleLevel"/>
    <w:tmpl w:val="8D2684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YjgzZjQyOGQ2Yjc1MDFkYTVjNGU0NDBjYWYwZGUifQ=="/>
    <w:docVar w:name="KSO_WPS_MARK_KEY" w:val="ff9d550d-fd2b-4511-ab15-83509eff0c38"/>
  </w:docVars>
  <w:rsids>
    <w:rsidRoot w:val="4DD20B95"/>
    <w:rsid w:val="00203923"/>
    <w:rsid w:val="002F2877"/>
    <w:rsid w:val="006F4213"/>
    <w:rsid w:val="00855AB1"/>
    <w:rsid w:val="0088380B"/>
    <w:rsid w:val="00886F09"/>
    <w:rsid w:val="00A60624"/>
    <w:rsid w:val="00B2291C"/>
    <w:rsid w:val="03F533A5"/>
    <w:rsid w:val="071D459E"/>
    <w:rsid w:val="12844B79"/>
    <w:rsid w:val="1E4C5F8A"/>
    <w:rsid w:val="1F6A5082"/>
    <w:rsid w:val="2B4B4573"/>
    <w:rsid w:val="33602ED7"/>
    <w:rsid w:val="38DF12E3"/>
    <w:rsid w:val="390017A4"/>
    <w:rsid w:val="3B691AD2"/>
    <w:rsid w:val="3C8A7F52"/>
    <w:rsid w:val="43AD51F6"/>
    <w:rsid w:val="480768FB"/>
    <w:rsid w:val="4B1010DA"/>
    <w:rsid w:val="4DD20B95"/>
    <w:rsid w:val="6AE463E3"/>
    <w:rsid w:val="6CAD71C1"/>
    <w:rsid w:val="771957BE"/>
    <w:rsid w:val="79B539BF"/>
    <w:rsid w:val="7B39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宋体"/>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vision"/>
    <w:hidden/>
    <w:unhideWhenUsed/>
    <w:qFormat/>
    <w:uiPriority w:val="99"/>
    <w:rPr>
      <w:rFonts w:ascii="Times New Roman" w:hAnsi="Times New Roman" w:eastAsia="仿宋_GB2312" w:cs="Times New Roman"/>
      <w:kern w:val="2"/>
      <w:sz w:val="30"/>
      <w:szCs w:val="24"/>
      <w:lang w:val="en-US" w:eastAsia="zh-CN" w:bidi="ar-SA"/>
    </w:rPr>
  </w:style>
  <w:style w:type="paragraph" w:styleId="9">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3938</Words>
  <Characters>4026</Characters>
  <Lines>34</Lines>
  <Paragraphs>9</Paragraphs>
  <TotalTime>20</TotalTime>
  <ScaleCrop>false</ScaleCrop>
  <LinksUpToDate>false</LinksUpToDate>
  <CharactersWithSpaces>4392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2024-05-22T08:15:00Z</dcterms:created>
  <dc:creator>孙元隆</dc:creator>
  <cp:lastModifiedBy>孙元隆</cp:lastModifiedBy>
  <cp:lastPrinted>2023-12-19T06:43:00Z</cp:lastPrinted>
  <dcterms:modified xsi:type="dcterms:W3CDTF">2024-05-24T06:44:39Z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9ED9CA15C1384F2A92E3CD8301E4B048</vt:lpwstr>
  </property>
</Properties>
</file>