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pPr>
        <w:pStyle w:val="5"/>
        <w:ind w:firstLine="0"/>
        <w:jc w:val="left"/>
        <w:rPr>
          <w:rFonts w:ascii="仿宋_GB2312" w:hAnsi="仿宋_GB2312" w:eastAsia="仿宋_GB2312" w:cs="仿宋_GB2312"/>
          <w:color w:val="000000"/>
          <w:sz w:val="30"/>
          <w:szCs w:val="30"/>
        </w:rPr>
      </w:pPr>
    </w:p>
    <w:p>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pPr>
        <w:pStyle w:val="5"/>
        <w:ind w:firstLine="0"/>
        <w:jc w:val="left"/>
        <w:rPr>
          <w:rFonts w:ascii="仿宋_GB2312" w:hAnsi="仿宋_GB2312" w:eastAsia="仿宋_GB2312" w:cs="仿宋_GB2312"/>
          <w:color w:val="000000"/>
          <w:sz w:val="30"/>
          <w:szCs w:val="30"/>
        </w:rPr>
      </w:pPr>
    </w:p>
    <w:p>
      <w:pPr>
        <w:pStyle w:val="5"/>
        <w:jc w:val="left"/>
        <w:rPr>
          <w:rFonts w:ascii="仿宋_GB2312" w:hAnsi="仿宋_GB2312" w:eastAsia="仿宋_GB2312" w:cs="仿宋_GB2312"/>
          <w:color w:val="000000"/>
          <w:sz w:val="30"/>
          <w:szCs w:val="30"/>
        </w:rPr>
      </w:pPr>
    </w:p>
    <w:p>
      <w:pPr>
        <w:pStyle w:val="5"/>
        <w:jc w:val="left"/>
        <w:rPr>
          <w:rFonts w:ascii="仿宋_GB2312" w:hAnsi="仿宋_GB2312" w:eastAsia="仿宋_GB2312" w:cs="仿宋_GB2312"/>
          <w:color w:val="000000"/>
          <w:sz w:val="30"/>
          <w:szCs w:val="30"/>
        </w:rPr>
      </w:pPr>
    </w:p>
    <w:p>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pPr>
        <w:pStyle w:val="5"/>
        <w:ind w:firstLine="0"/>
        <w:jc w:val="left"/>
        <w:rPr>
          <w:rFonts w:ascii="仿宋_GB2312" w:hAnsi="仿宋_GB2312" w:eastAsia="仿宋_GB2312" w:cs="仿宋_GB2312"/>
          <w:color w:val="000000"/>
          <w:sz w:val="30"/>
          <w:szCs w:val="30"/>
        </w:rPr>
      </w:pPr>
    </w:p>
    <w:p>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pPr>
        <w:pStyle w:val="5"/>
        <w:jc w:val="left"/>
        <w:rPr>
          <w:rFonts w:ascii="仿宋_GB2312" w:hAnsi="仿宋_GB2312" w:eastAsia="仿宋_GB2312" w:cs="仿宋_GB2312"/>
          <w:color w:val="000000"/>
          <w:sz w:val="30"/>
          <w:szCs w:val="30"/>
        </w:rPr>
      </w:pPr>
    </w:p>
    <w:p>
      <w:pPr>
        <w:pStyle w:val="5"/>
        <w:jc w:val="left"/>
        <w:rPr>
          <w:rFonts w:ascii="仿宋_GB2312" w:hAnsi="仿宋_GB2312" w:eastAsia="仿宋_GB2312" w:cs="仿宋_GB2312"/>
          <w:color w:val="000000"/>
          <w:sz w:val="30"/>
          <w:szCs w:val="30"/>
        </w:rPr>
      </w:pPr>
    </w:p>
    <w:p>
      <w:pPr>
        <w:pStyle w:val="5"/>
        <w:jc w:val="left"/>
        <w:rPr>
          <w:rFonts w:ascii="仿宋_GB2312" w:hAnsi="仿宋_GB2312" w:eastAsia="仿宋_GB2312" w:cs="仿宋_GB2312"/>
          <w:color w:val="000000"/>
          <w:sz w:val="30"/>
          <w:szCs w:val="30"/>
        </w:rPr>
      </w:pPr>
    </w:p>
    <w:p>
      <w:pPr>
        <w:pStyle w:val="5"/>
        <w:jc w:val="left"/>
        <w:rPr>
          <w:rFonts w:ascii="仿宋_GB2312" w:hAnsi="仿宋_GB2312" w:eastAsia="仿宋_GB2312" w:cs="仿宋_GB2312"/>
          <w:color w:val="000000"/>
          <w:sz w:val="30"/>
          <w:szCs w:val="30"/>
        </w:rPr>
      </w:pPr>
    </w:p>
    <w:p>
      <w:pPr>
        <w:pStyle w:val="5"/>
        <w:jc w:val="left"/>
        <w:rPr>
          <w:rFonts w:ascii="仿宋_GB2312" w:hAnsi="仿宋_GB2312" w:eastAsia="仿宋_GB2312" w:cs="仿宋_GB2312"/>
          <w:color w:val="000000"/>
          <w:sz w:val="30"/>
          <w:szCs w:val="30"/>
        </w:rPr>
      </w:pPr>
    </w:p>
    <w:p>
      <w:pPr>
        <w:pStyle w:val="5"/>
        <w:jc w:val="left"/>
        <w:rPr>
          <w:rFonts w:ascii="仿宋_GB2312" w:hAnsi="仿宋_GB2312" w:eastAsia="仿宋_GB2312" w:cs="仿宋_GB2312"/>
          <w:color w:val="000000"/>
          <w:sz w:val="30"/>
          <w:szCs w:val="30"/>
        </w:rPr>
      </w:pPr>
    </w:p>
    <w:p>
      <w:pPr>
        <w:pStyle w:val="5"/>
        <w:jc w:val="left"/>
        <w:rPr>
          <w:rFonts w:ascii="仿宋_GB2312" w:hAnsi="仿宋_GB2312" w:eastAsia="仿宋_GB2312" w:cs="仿宋_GB2312"/>
          <w:color w:val="000000"/>
          <w:sz w:val="30"/>
          <w:szCs w:val="30"/>
        </w:rPr>
      </w:pPr>
    </w:p>
    <w:p>
      <w:pPr>
        <w:pStyle w:val="5"/>
        <w:jc w:val="left"/>
        <w:rPr>
          <w:rFonts w:ascii="仿宋_GB2312" w:hAnsi="仿宋_GB2312" w:eastAsia="仿宋_GB2312" w:cs="仿宋_GB2312"/>
          <w:color w:val="000000"/>
          <w:sz w:val="30"/>
          <w:szCs w:val="30"/>
        </w:rPr>
      </w:pPr>
    </w:p>
    <w:p>
      <w:pPr>
        <w:jc w:val="left"/>
        <w:sectPr>
          <w:pgSz w:w="11906" w:h="16838"/>
          <w:pgMar w:top="1440" w:right="1800" w:bottom="1440" w:left="1800" w:header="851" w:footer="992" w:gutter="0"/>
          <w:cols w:space="425" w:num="1"/>
          <w:docGrid w:type="lines" w:linePitch="312" w:charSpace="0"/>
        </w:sectPr>
      </w:pPr>
    </w:p>
    <w:p>
      <w:pPr>
        <w:pStyle w:val="3"/>
        <w:pageBreakBefore w:val="0"/>
        <w:widowControl w:val="0"/>
        <w:kinsoku/>
        <w:wordWrap/>
        <w:overflowPunct/>
        <w:topLinePunct w:val="0"/>
        <w:autoSpaceDE/>
        <w:autoSpaceDN/>
        <w:bidi w:val="0"/>
        <w:adjustRightInd/>
        <w:spacing w:line="440" w:lineRule="exact"/>
        <w:textAlignment w:val="auto"/>
        <w:rPr>
          <w:rStyle w:val="14"/>
          <w:rFonts w:ascii="Times New Roman" w:hAnsi="Times New Roman"/>
          <w:szCs w:val="22"/>
        </w:rPr>
      </w:pPr>
      <w:bookmarkStart w:id="1" w:name="_Toc24068"/>
      <w:bookmarkStart w:id="2" w:name="_Toc13462"/>
      <w:bookmarkStart w:id="3" w:name="_Toc8396"/>
      <w:bookmarkStart w:id="4" w:name="_Toc7615"/>
      <w:bookmarkStart w:id="5" w:name="_Toc24727"/>
      <w:bookmarkStart w:id="6" w:name="_Toc12789"/>
      <w:bookmarkStart w:id="7" w:name="_Toc25712"/>
      <w:bookmarkStart w:id="8" w:name="_Toc20033"/>
      <w:bookmarkStart w:id="9" w:name="_Toc29002"/>
      <w:r>
        <w:rPr>
          <w:rFonts w:hint="eastAsia" w:ascii="黑体" w:hAnsi="黑体"/>
          <w:color w:val="000000"/>
        </w:rPr>
        <w:t>网络竞价项目承诺函</w:t>
      </w:r>
      <w:bookmarkEnd w:id="1"/>
      <w:bookmarkEnd w:id="2"/>
      <w:bookmarkEnd w:id="3"/>
      <w:bookmarkEnd w:id="4"/>
      <w:bookmarkEnd w:id="5"/>
      <w:bookmarkEnd w:id="6"/>
      <w:bookmarkEnd w:id="7"/>
      <w:bookmarkEnd w:id="8"/>
      <w:bookmarkEnd w:id="9"/>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ascii="Times New Roman" w:hAnsi="Times New Roman"/>
          <w:sz w:val="28"/>
          <w:szCs w:val="28"/>
        </w:rPr>
      </w:pPr>
      <w:r>
        <w:rPr>
          <w:rFonts w:hint="eastAsia" w:ascii="Times New Roman" w:hAnsi="Times New Roman"/>
          <w:sz w:val="28"/>
          <w:szCs w:val="28"/>
        </w:rPr>
        <w:t>海南省数农产权运营管理有限公司：</w:t>
      </w:r>
    </w:p>
    <w:p>
      <w:pPr>
        <w:keepNext w:val="0"/>
        <w:keepLines w:val="0"/>
        <w:pageBreakBefore w:val="0"/>
        <w:widowControl w:val="0"/>
        <w:kinsoku/>
        <w:wordWrap/>
        <w:overflowPunct/>
        <w:topLinePunct w:val="0"/>
        <w:autoSpaceDE/>
        <w:autoSpaceDN/>
        <w:bidi w:val="0"/>
        <w:adjustRightInd/>
        <w:snapToGrid w:val="0"/>
        <w:spacing w:line="44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sz w:val="28"/>
          <w:szCs w:val="28"/>
          <w:u w:val="single"/>
          <w:lang w:eastAsia="zh-CN"/>
        </w:rPr>
        <w:t>屯昌县中建农场大月岭矿区东矿段建筑用花岗岩矿300万吨花岗岩矿毛石（预售）</w:t>
      </w:r>
      <w:r>
        <w:rPr>
          <w:rFonts w:ascii="Times New Roman" w:hAnsi="Times New Roman"/>
          <w:sz w:val="28"/>
          <w:szCs w:val="28"/>
        </w:rPr>
        <w:t>”</w:t>
      </w:r>
      <w:r>
        <w:rPr>
          <w:rFonts w:hint="eastAsia" w:ascii="Times New Roman" w:hAnsi="Times New Roman"/>
          <w:sz w:val="28"/>
          <w:szCs w:val="28"/>
        </w:rPr>
        <w:t>项目网络竞价活动作出如下承诺：</w:t>
      </w:r>
    </w:p>
    <w:p>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sz w:val="28"/>
          <w:szCs w:val="28"/>
          <w:u w:val="single"/>
          <w:lang w:eastAsia="zh-CN"/>
        </w:rPr>
        <w:t>屯昌县中建农场大月岭矿区东矿段建筑用花岗岩矿300万吨花岗岩矿毛石（预售）</w:t>
      </w:r>
      <w:r>
        <w:rPr>
          <w:rFonts w:ascii="Times New Roman" w:hAnsi="Times New Roman"/>
          <w:sz w:val="28"/>
          <w:szCs w:val="28"/>
        </w:rPr>
        <w:t>”</w:t>
      </w:r>
      <w:r>
        <w:rPr>
          <w:rFonts w:hint="eastAsia" w:ascii="Times New Roman" w:hAnsi="Times New Roman"/>
          <w:sz w:val="28"/>
          <w:szCs w:val="28"/>
        </w:rPr>
        <w:t>项目网络竞价活动，并参与报价。</w:t>
      </w:r>
    </w:p>
    <w:p>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sz w:val="28"/>
          <w:szCs w:val="28"/>
          <w:u w:val="single"/>
          <w:lang w:eastAsia="zh-CN"/>
        </w:rPr>
        <w:t>屯昌县中建农场大月岭矿区东矿段建筑用花岗岩矿300万吨花岗岩矿毛石（预售）</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cs="Times New Roman"/>
          <w:sz w:val="28"/>
          <w:szCs w:val="28"/>
        </w:rPr>
        <w:t>海南农村产权交易服务平台</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转让方</w:t>
      </w:r>
      <w:r>
        <w:rPr>
          <w:rFonts w:hint="eastAsia" w:ascii="Times New Roman" w:hAnsi="Times New Roman"/>
          <w:sz w:val="28"/>
          <w:szCs w:val="28"/>
        </w:rPr>
        <w:t>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rPr>
        <w:t>海南农村产权交易服务平台（http://hainan.nongjiao.com，以下简称“平台”）</w:t>
      </w:r>
      <w:r>
        <w:rPr>
          <w:rFonts w:hint="eastAsia" w:ascii="Times New Roman" w:hAnsi="Times New Roman"/>
          <w:sz w:val="28"/>
          <w:szCs w:val="28"/>
        </w:rPr>
        <w:t>无关。</w:t>
      </w:r>
    </w:p>
    <w:p>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转让方</w:t>
      </w:r>
      <w:r>
        <w:rPr>
          <w:rFonts w:hint="eastAsia" w:ascii="Times New Roman" w:hAnsi="Times New Roman"/>
          <w:sz w:val="28"/>
          <w:szCs w:val="28"/>
        </w:rPr>
        <w:t>和平台有权根据《网络竞价须知》的规定扣除保证金。</w:t>
      </w:r>
    </w:p>
    <w:p>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五、本竞买方承诺在竞价成功后按照海南农村产权交易服务平台书面通知要求与</w:t>
      </w:r>
      <w:r>
        <w:rPr>
          <w:rFonts w:hint="eastAsia" w:ascii="Times New Roman" w:hAnsi="Times New Roman"/>
          <w:sz w:val="28"/>
          <w:szCs w:val="28"/>
          <w:lang w:eastAsia="zh-CN"/>
        </w:rPr>
        <w:t>转让方</w:t>
      </w:r>
      <w:r>
        <w:rPr>
          <w:rFonts w:hint="eastAsia" w:ascii="Times New Roman" w:hAnsi="Times New Roman"/>
          <w:sz w:val="28"/>
          <w:szCs w:val="28"/>
        </w:rPr>
        <w:t>签署交易合同，并按《</w:t>
      </w:r>
      <w:r>
        <w:rPr>
          <w:rFonts w:hint="eastAsia" w:ascii="Times New Roman" w:hAnsi="Times New Roman"/>
          <w:sz w:val="28"/>
          <w:szCs w:val="28"/>
          <w:lang w:val="en-US" w:eastAsia="zh-CN"/>
        </w:rPr>
        <w:t>标的竞得</w:t>
      </w:r>
      <w:r>
        <w:rPr>
          <w:rFonts w:hint="eastAsia" w:ascii="Times New Roman" w:hAnsi="Times New Roman"/>
          <w:sz w:val="28"/>
          <w:szCs w:val="28"/>
        </w:rPr>
        <w:t>书》的约定支付交易价款。</w:t>
      </w:r>
    </w:p>
    <w:p>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pPr>
        <w:pStyle w:val="10"/>
        <w:keepNext w:val="0"/>
        <w:keepLines w:val="0"/>
        <w:pageBreakBefore w:val="0"/>
        <w:widowControl w:val="0"/>
        <w:kinsoku/>
        <w:wordWrap/>
        <w:overflowPunct/>
        <w:topLinePunct w:val="0"/>
        <w:autoSpaceDE/>
        <w:autoSpaceDN/>
        <w:bidi w:val="0"/>
        <w:adjustRightInd/>
        <w:spacing w:line="440" w:lineRule="exact"/>
        <w:ind w:left="2250" w:hanging="1200"/>
        <w:textAlignment w:val="auto"/>
      </w:pP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受让申请书</w:t>
      </w:r>
    </w:p>
    <w:p>
      <w:pPr>
        <w:rPr>
          <w:rFonts w:ascii="仿宋_GB2312" w:hAnsi="仿宋_GB2312" w:eastAsia="仿宋_GB2312" w:cs="仿宋_GB2312"/>
          <w:color w:val="000000"/>
          <w:sz w:val="36"/>
          <w:szCs w:val="30"/>
        </w:rPr>
      </w:pPr>
    </w:p>
    <w:p>
      <w:pPr>
        <w:rPr>
          <w:rFonts w:ascii="仿宋_GB2312" w:hAnsi="仿宋_GB2312" w:eastAsia="仿宋_GB2312" w:cs="仿宋_GB2312"/>
          <w:color w:val="000000"/>
          <w:sz w:val="30"/>
          <w:szCs w:val="30"/>
        </w:rPr>
      </w:pPr>
    </w:p>
    <w:p>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pPr>
        <w:rPr>
          <w:rFonts w:ascii="仿宋_GB2312" w:hAnsi="仿宋_GB2312" w:eastAsia="仿宋_GB2312" w:cs="仿宋_GB2312"/>
          <w:b/>
          <w:color w:val="000000"/>
          <w:sz w:val="30"/>
          <w:szCs w:val="30"/>
        </w:rPr>
      </w:pPr>
    </w:p>
    <w:p>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pPr>
        <w:rPr>
          <w:rFonts w:ascii="仿宋_GB2312" w:hAnsi="仿宋_GB2312" w:eastAsia="仿宋_GB2312" w:cs="仿宋_GB2312"/>
          <w:b/>
          <w:color w:val="000000"/>
          <w:sz w:val="30"/>
          <w:szCs w:val="30"/>
          <w:u w:val="single"/>
        </w:rPr>
      </w:pPr>
    </w:p>
    <w:p>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pPr>
                              <w:jc w:val="center"/>
                              <w:rPr>
                                <w:b/>
                                <w:sz w:val="42"/>
                              </w:rPr>
                            </w:pPr>
                          </w:p>
                          <w:p>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pPr>
                              <w:rPr>
                                <w:rFonts w:ascii="仿宋_GB2312" w:hAnsi="仿宋_GB2312" w:eastAsia="仿宋_GB2312" w:cs="仿宋_GB2312"/>
                                <w:sz w:val="24"/>
                              </w:rPr>
                            </w:pPr>
                          </w:p>
                          <w:p>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pPr>
                        <w:jc w:val="center"/>
                        <w:rPr>
                          <w:b/>
                          <w:sz w:val="42"/>
                        </w:rPr>
                      </w:pPr>
                    </w:p>
                    <w:p>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pPr>
                        <w:rPr>
                          <w:rFonts w:ascii="仿宋_GB2312" w:hAnsi="仿宋_GB2312" w:eastAsia="仿宋_GB2312" w:cs="仿宋_GB2312"/>
                          <w:sz w:val="24"/>
                        </w:rPr>
                      </w:pPr>
                    </w:p>
                    <w:p>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pPr>
        <w:rPr>
          <w:rFonts w:ascii="仿宋_GB2312" w:hAnsi="仿宋_GB2312" w:eastAsia="仿宋_GB2312" w:cs="仿宋_GB2312"/>
          <w:color w:val="000000"/>
          <w:sz w:val="30"/>
          <w:szCs w:val="30"/>
        </w:rPr>
      </w:pPr>
    </w:p>
    <w:p>
      <w:pPr>
        <w:rPr>
          <w:rFonts w:ascii="仿宋_GB2312" w:hAnsi="仿宋_GB2312" w:eastAsia="仿宋_GB2312" w:cs="仿宋_GB2312"/>
          <w:color w:val="000000"/>
          <w:sz w:val="30"/>
          <w:szCs w:val="30"/>
        </w:rPr>
      </w:pPr>
    </w:p>
    <w:p>
      <w:pPr>
        <w:rPr>
          <w:rFonts w:ascii="仿宋_GB2312" w:hAnsi="仿宋_GB2312" w:eastAsia="仿宋_GB2312" w:cs="仿宋_GB2312"/>
          <w:color w:val="000000"/>
          <w:sz w:val="30"/>
          <w:szCs w:val="30"/>
        </w:rPr>
      </w:pPr>
    </w:p>
    <w:p>
      <w:pPr>
        <w:rPr>
          <w:rFonts w:ascii="仿宋_GB2312" w:hAnsi="仿宋_GB2312" w:eastAsia="仿宋_GB2312" w:cs="仿宋_GB2312"/>
          <w:color w:val="000000"/>
          <w:sz w:val="30"/>
          <w:szCs w:val="30"/>
        </w:rPr>
      </w:pPr>
    </w:p>
    <w:p>
      <w:pPr>
        <w:rPr>
          <w:rFonts w:ascii="仿宋_GB2312" w:hAnsi="仿宋_GB2312" w:eastAsia="仿宋_GB2312" w:cs="仿宋_GB2312"/>
          <w:color w:val="000000"/>
          <w:sz w:val="30"/>
          <w:szCs w:val="30"/>
        </w:rPr>
      </w:pPr>
    </w:p>
    <w:p>
      <w:pPr>
        <w:rPr>
          <w:rFonts w:ascii="仿宋_GB2312" w:hAnsi="仿宋_GB2312" w:eastAsia="仿宋_GB2312" w:cs="仿宋_GB2312"/>
          <w:color w:val="000000"/>
          <w:sz w:val="30"/>
          <w:szCs w:val="30"/>
        </w:rPr>
      </w:pPr>
    </w:p>
    <w:p>
      <w:pPr>
        <w:rPr>
          <w:rFonts w:ascii="仿宋_GB2312" w:hAnsi="仿宋_GB2312" w:eastAsia="仿宋_GB2312" w:cs="仿宋_GB2312"/>
          <w:color w:val="000000"/>
          <w:sz w:val="30"/>
          <w:szCs w:val="30"/>
        </w:rPr>
      </w:pPr>
    </w:p>
    <w:p>
      <w:pPr>
        <w:pStyle w:val="5"/>
      </w:pPr>
    </w:p>
    <w:p>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海南省数农产权运营管理有限公司制</w:t>
      </w:r>
    </w:p>
    <w:p>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2024年</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月</w:t>
      </w:r>
    </w:p>
    <w:p>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pPr>
        <w:pStyle w:val="3"/>
        <w:spacing w:line="400" w:lineRule="exact"/>
        <w:rPr>
          <w:rFonts w:ascii="仿宋" w:hAnsi="仿宋"/>
          <w:bCs/>
          <w:szCs w:val="36"/>
        </w:rPr>
      </w:pPr>
      <w:r>
        <w:rPr>
          <w:rFonts w:hint="eastAsia"/>
          <w:bCs/>
          <w:szCs w:val="36"/>
        </w:rPr>
        <w:t>意向受让函</w:t>
      </w:r>
    </w:p>
    <w:p>
      <w:pPr>
        <w:rPr>
          <w:rFonts w:ascii="Times New Roman" w:hAnsi="Times New Roman" w:eastAsia="黑体"/>
          <w:bCs/>
          <w:sz w:val="24"/>
        </w:rPr>
      </w:pPr>
      <w:r>
        <w:rPr>
          <w:rFonts w:hint="eastAsia" w:ascii="Times New Roman" w:hAnsi="Times New Roman" w:eastAsia="黑体"/>
          <w:sz w:val="24"/>
        </w:rPr>
        <w:t>海南省数农产权运营管理有限公司：</w:t>
      </w:r>
    </w:p>
    <w:p>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根据有关农村产权流转交易的法律法规及政策规定，本意向方现向海南农村产权交易服务平台（http://hainan.nongjiao.com，以下简称“平台”）申请受让</w:t>
      </w:r>
      <w:r>
        <w:rPr>
          <w:rFonts w:hint="eastAsia" w:ascii="新宋体" w:hAnsi="新宋体" w:eastAsia="新宋体"/>
          <w:b/>
          <w:bCs/>
          <w:sz w:val="28"/>
          <w:szCs w:val="28"/>
          <w:u w:val="single"/>
          <w:lang w:eastAsia="zh-CN"/>
        </w:rPr>
        <w:t>屯昌县中建农场大月岭矿区东矿段建筑用花岗岩矿300万吨花岗岩矿毛石（预售）</w:t>
      </w:r>
      <w:r>
        <w:rPr>
          <w:rFonts w:hint="eastAsia" w:ascii="Times New Roman" w:hAnsi="Times New Roman"/>
          <w:bCs/>
          <w:sz w:val="24"/>
        </w:rPr>
        <w:t>，并承诺：</w:t>
      </w:r>
    </w:p>
    <w:p>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、我方申请受让该项目，并接受项目公开挂牌信息所载的全部受让要求，我方受让行为已经过相应的有效内部决策并得到相应批准。</w:t>
      </w:r>
    </w:p>
    <w:p>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、我方具有良好的财务状况、商业信用和农业投资经营能力，符合农村产权相关法律法规及政策对受让方条件的规定。</w:t>
      </w:r>
    </w:p>
    <w:p>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、已知悉贵服务平台的交易规则，并充分理解和认可，同意按照贵服务平台《海南农村产权交易服务平台产权交易规则（试行）》等相关规定实施农村产权流转活动；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pPr>
        <w:spacing w:line="440" w:lineRule="exact"/>
        <w:ind w:firstLine="482" w:firstLineChars="200"/>
        <w:rPr>
          <w:rFonts w:ascii="Times New Roman" w:hAnsi="Times New Roman"/>
          <w:b/>
          <w:sz w:val="24"/>
        </w:rPr>
      </w:pPr>
      <w:bookmarkStart w:id="10" w:name="_Toc13357"/>
      <w:bookmarkStart w:id="11" w:name="_Toc28981"/>
      <w:bookmarkStart w:id="12" w:name="_Toc11532"/>
      <w:r>
        <w:rPr>
          <w:rFonts w:ascii="Times New Roman" w:hAnsi="Times New Roman"/>
          <w:b/>
          <w:sz w:val="24"/>
        </w:rPr>
        <w:t>7</w:t>
      </w:r>
      <w:r>
        <w:rPr>
          <w:rFonts w:hint="eastAsia" w:ascii="Times New Roman" w:hAnsi="Times New Roman"/>
          <w:b/>
          <w:sz w:val="24"/>
        </w:rPr>
        <w:t>、我方承诺不通过其他渠道进行本项目交易。</w:t>
      </w:r>
      <w:bookmarkEnd w:id="10"/>
      <w:bookmarkEnd w:id="11"/>
      <w:bookmarkEnd w:id="12"/>
    </w:p>
    <w:p>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pPr>
        <w:pStyle w:val="5"/>
        <w:spacing w:line="440" w:lineRule="exact"/>
        <w:rPr>
          <w:rFonts w:ascii="Times New Roman" w:hAnsi="Times New Roman"/>
          <w:bCs/>
          <w:sz w:val="28"/>
          <w:szCs w:val="24"/>
        </w:rPr>
      </w:pPr>
      <w:bookmarkStart w:id="13" w:name="_Toc24611"/>
      <w:bookmarkStart w:id="14" w:name="_Toc7009"/>
      <w:bookmarkStart w:id="15" w:name="_Toc31003"/>
      <w:r>
        <w:rPr>
          <w:rFonts w:hint="eastAsia" w:ascii="Times New Roman" w:hAnsi="Times New Roman"/>
          <w:b/>
          <w:sz w:val="24"/>
          <w:szCs w:val="24"/>
        </w:rPr>
        <w:t>10、最终解释权归海南省数农产权运营管理有限公司。</w:t>
      </w:r>
      <w:bookmarkEnd w:id="13"/>
      <w:bookmarkEnd w:id="14"/>
      <w:bookmarkEnd w:id="15"/>
    </w:p>
    <w:p>
      <w:pPr>
        <w:spacing w:line="312" w:lineRule="auto"/>
        <w:ind w:firstLine="3840" w:firstLineChars="1600"/>
        <w:rPr>
          <w:rFonts w:ascii="宋体" w:hAnsi="宋体" w:eastAsia="宋体" w:cs="宋体"/>
          <w:sz w:val="24"/>
        </w:rPr>
      </w:pPr>
    </w:p>
    <w:p>
      <w:pPr>
        <w:spacing w:line="296" w:lineRule="auto"/>
        <w:ind w:firstLine="3840" w:firstLineChars="1600"/>
        <w:rPr>
          <w:rFonts w:ascii="宋体" w:hAnsi="宋体" w:eastAsia="宋体" w:cs="宋体"/>
          <w:sz w:val="24"/>
          <w:u w:val="single"/>
        </w:rPr>
      </w:pPr>
      <w:bookmarkStart w:id="16" w:name="_Toc4535"/>
      <w:bookmarkStart w:id="17" w:name="_Toc30986"/>
      <w:bookmarkStart w:id="18" w:name="_Toc29057"/>
      <w:r>
        <w:rPr>
          <w:rFonts w:hint="eastAsia" w:ascii="宋体" w:hAnsi="宋体" w:eastAsia="宋体" w:cs="宋体"/>
          <w:sz w:val="24"/>
        </w:rPr>
        <w:t>申 请 单 位（盖章）：</w:t>
      </w:r>
      <w:bookmarkEnd w:id="16"/>
      <w:bookmarkEnd w:id="17"/>
      <w:bookmarkEnd w:id="18"/>
      <w:r>
        <w:rPr>
          <w:rFonts w:hint="eastAsia" w:ascii="宋体" w:hAnsi="宋体" w:eastAsia="宋体" w:cs="宋体"/>
          <w:sz w:val="24"/>
          <w:u w:val="single"/>
        </w:rPr>
        <w:t xml:space="preserve">                                                    </w:t>
      </w:r>
    </w:p>
    <w:p>
      <w:pPr>
        <w:spacing w:line="296" w:lineRule="auto"/>
        <w:ind w:firstLine="3840" w:firstLineChars="1600"/>
        <w:outlineLvl w:val="1"/>
        <w:rPr>
          <w:rFonts w:ascii="宋体" w:hAnsi="宋体" w:eastAsia="宋体" w:cs="宋体"/>
          <w:sz w:val="24"/>
          <w:u w:val="single"/>
        </w:rPr>
      </w:pPr>
      <w:bookmarkStart w:id="19" w:name="_Toc17490"/>
      <w:bookmarkStart w:id="20" w:name="_Toc9059"/>
      <w:r>
        <w:rPr>
          <w:rFonts w:hint="eastAsia" w:ascii="宋体" w:hAnsi="宋体" w:eastAsia="宋体" w:cs="宋体"/>
          <w:sz w:val="24"/>
        </w:rPr>
        <w:t>法定代表人（签字）：</w:t>
      </w:r>
      <w:bookmarkEnd w:id="19"/>
      <w:bookmarkEnd w:id="20"/>
      <w:r>
        <w:rPr>
          <w:rFonts w:hint="eastAsia" w:ascii="宋体" w:hAnsi="宋体" w:eastAsia="宋体" w:cs="宋体"/>
          <w:sz w:val="24"/>
          <w:u w:val="single"/>
        </w:rPr>
        <w:t xml:space="preserve">                          </w:t>
      </w:r>
    </w:p>
    <w:p>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pPr>
        <w:pStyle w:val="3"/>
        <w:spacing w:line="240" w:lineRule="auto"/>
        <w:rPr>
          <w:rFonts w:ascii="黑体" w:hAnsi="黑体"/>
          <w:color w:val="000000"/>
        </w:rPr>
      </w:pPr>
      <w:bookmarkStart w:id="21" w:name="_Toc32101"/>
      <w:bookmarkStart w:id="22" w:name="_Toc4580"/>
      <w:bookmarkStart w:id="23" w:name="_Toc29841"/>
      <w:bookmarkStart w:id="24" w:name="_Toc14469"/>
      <w:bookmarkStart w:id="25" w:name="_Toc13094"/>
      <w:bookmarkStart w:id="26" w:name="_Toc11237"/>
      <w:bookmarkStart w:id="27" w:name="_Toc12264"/>
      <w:r>
        <w:rPr>
          <w:rFonts w:hint="eastAsia" w:ascii="黑体" w:hAnsi="黑体"/>
          <w:color w:val="000000"/>
        </w:rPr>
        <w:t>意向受让方登记表</w:t>
      </w:r>
      <w:bookmarkEnd w:id="21"/>
      <w:bookmarkEnd w:id="22"/>
      <w:bookmarkEnd w:id="23"/>
      <w:bookmarkEnd w:id="24"/>
      <w:bookmarkEnd w:id="25"/>
      <w:bookmarkEnd w:id="26"/>
      <w:bookmarkEnd w:id="27"/>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pPr>
              <w:pStyle w:val="2"/>
            </w:pPr>
          </w:p>
        </w:tc>
      </w:tr>
      <w:tr>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r>
      <w:tr>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r>
      <w:tr>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eastAsia="宋体"/>
                <w:sz w:val="22"/>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eastAsia="宋体"/>
                <w:sz w:val="22"/>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eastAsia="宋体"/>
                <w:sz w:val="22"/>
              </w:rPr>
            </w:pPr>
          </w:p>
        </w:tc>
      </w:tr>
      <w:tr>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eastAsia="宋体"/>
                <w:sz w:val="22"/>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ind w:left="48"/>
              <w:rPr>
                <w:rFonts w:ascii="宋体" w:hAnsi="宋体" w:eastAsia="宋体"/>
                <w:sz w:val="22"/>
              </w:rPr>
            </w:pPr>
            <w:r>
              <w:rPr>
                <w:rFonts w:hint="eastAsia" w:ascii="宋体" w:hAnsi="宋体" w:eastAsia="宋体"/>
                <w:sz w:val="22"/>
              </w:rPr>
              <w:t>报表时间：</w:t>
            </w:r>
          </w:p>
        </w:tc>
      </w:tr>
      <w:tr>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pPr>
          </w:p>
          <w:p/>
        </w:tc>
        <w:tc>
          <w:tcPr>
            <w:tcW w:w="795" w:type="dxa"/>
            <w:gridSpan w:val="3"/>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pPr>
          </w:p>
          <w:p>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pPr>
              <w:pStyle w:val="16"/>
              <w:spacing w:line="360" w:lineRule="auto"/>
              <w:jc w:val="center"/>
              <w:rPr>
                <w:rFonts w:ascii="宋体" w:hAnsi="宋体" w:eastAsia="宋体"/>
                <w:sz w:val="22"/>
                <w:szCs w:val="24"/>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default" w:ascii="宋体" w:hAnsi="宋体" w:eastAsia="宋体"/>
                <w:sz w:val="22"/>
                <w:lang w:val="en-US" w:eastAsia="zh-CN"/>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default" w:ascii="宋体" w:hAnsi="宋体" w:eastAsia="宋体"/>
                <w:sz w:val="22"/>
                <w:lang w:val="en-US" w:eastAsia="zh-CN"/>
              </w:rPr>
            </w:pPr>
            <w:r>
              <w:rPr>
                <w:rFonts w:hint="eastAsia" w:ascii="宋体" w:hAnsi="宋体" w:eastAsia="宋体"/>
                <w:sz w:val="22"/>
                <w:lang w:val="en-US" w:eastAsia="zh-CN"/>
              </w:rPr>
              <w:t>主管</w:t>
            </w: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bCs/>
                <w:sz w:val="22"/>
              </w:rPr>
              <w:t>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sz w:val="22"/>
                <w:lang w:val="en-US" w:eastAsia="zh-CN"/>
              </w:rPr>
            </w:pPr>
            <w:r>
              <w:rPr>
                <w:rFonts w:hint="eastAsia" w:ascii="宋体" w:hAnsi="宋体" w:eastAsia="宋体"/>
                <w:sz w:val="22"/>
                <w:lang w:val="en-US" w:eastAsia="zh-CN"/>
              </w:rPr>
              <w:t>开店</w:t>
            </w:r>
          </w:p>
        </w:tc>
      </w:tr>
      <w:tr>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pPr>
              <w:spacing w:line="360" w:lineRule="auto"/>
              <w:jc w:val="center"/>
              <w:rPr>
                <w:rFonts w:ascii="宋体" w:hAnsi="宋体" w:eastAsia="宋体"/>
                <w:bCs/>
                <w:sz w:val="22"/>
              </w:rPr>
            </w:pPr>
            <w:r>
              <w:rPr>
                <w:rFonts w:hint="eastAsia" w:ascii="宋体" w:hAnsi="宋体" w:eastAsia="宋体"/>
                <w:bCs/>
                <w:sz w:val="22"/>
              </w:rPr>
              <w:t>附件</w:t>
            </w:r>
          </w:p>
          <w:p>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pPr>
              <w:spacing w:line="360" w:lineRule="auto"/>
              <w:jc w:val="left"/>
              <w:rPr>
                <w:rFonts w:ascii="宋体" w:hAnsi="宋体" w:eastAsia="宋体"/>
                <w:sz w:val="22"/>
              </w:rPr>
            </w:pPr>
          </w:p>
        </w:tc>
      </w:tr>
      <w:tr>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28" w:name="OLE_LINK12"/>
            <w:r>
              <w:rPr>
                <w:rFonts w:hint="eastAsia" w:ascii="宋体" w:hAnsi="宋体" w:eastAsia="宋体"/>
                <w:sz w:val="22"/>
              </w:rPr>
              <w:t>（备注项目编号）</w:t>
            </w:r>
            <w:bookmarkEnd w:id="28"/>
          </w:p>
        </w:tc>
        <w:tc>
          <w:tcPr>
            <w:tcW w:w="1710" w:type="dxa"/>
            <w:gridSpan w:val="2"/>
            <w:vMerge w:val="continue"/>
            <w:tcBorders>
              <w:left w:val="single" w:color="auto" w:sz="4" w:space="0"/>
              <w:bottom w:val="single" w:color="auto" w:sz="4" w:space="0"/>
              <w:right w:val="single" w:color="auto" w:sz="4" w:space="0"/>
            </w:tcBorders>
            <w:vAlign w:val="center"/>
          </w:tcPr>
          <w:p>
            <w:pPr>
              <w:spacing w:line="360" w:lineRule="auto"/>
              <w:jc w:val="left"/>
              <w:rPr>
                <w:rFonts w:ascii="宋体" w:hAnsi="宋体" w:eastAsia="宋体"/>
                <w:sz w:val="22"/>
              </w:rPr>
            </w:pP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bCs/>
                <w:sz w:val="22"/>
              </w:rPr>
            </w:pPr>
            <w:r>
              <w:rPr>
                <w:rFonts w:hint="eastAsia" w:ascii="宋体" w:hAnsi="宋体" w:eastAsia="宋体"/>
                <w:bCs/>
                <w:sz w:val="22"/>
              </w:rPr>
              <w:t>法人单位</w:t>
            </w:r>
          </w:p>
          <w:p>
            <w:pPr>
              <w:spacing w:line="360" w:lineRule="auto"/>
              <w:jc w:val="center"/>
              <w:rPr>
                <w:rFonts w:ascii="宋体" w:hAnsi="宋体" w:eastAsia="宋体"/>
                <w:bCs/>
                <w:sz w:val="22"/>
              </w:rPr>
            </w:pPr>
            <w:r>
              <w:rPr>
                <w:rFonts w:hint="eastAsia" w:ascii="宋体" w:hAnsi="宋体" w:eastAsia="宋体"/>
                <w:bCs/>
                <w:sz w:val="22"/>
              </w:rPr>
              <w:t>（如农业企业，</w:t>
            </w:r>
          </w:p>
          <w:p>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pPr>
              <w:spacing w:line="360" w:lineRule="auto"/>
              <w:jc w:val="left"/>
              <w:rPr>
                <w:rFonts w:ascii="宋体" w:hAnsi="宋体" w:eastAsia="宋体"/>
                <w:sz w:val="22"/>
              </w:rPr>
            </w:pP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pPr>
              <w:spacing w:line="360" w:lineRule="auto"/>
              <w:jc w:val="left"/>
              <w:rPr>
                <w:rFonts w:ascii="宋体" w:hAnsi="宋体" w:eastAsia="宋体"/>
                <w:sz w:val="22"/>
              </w:rPr>
            </w:pPr>
          </w:p>
        </w:tc>
      </w:tr>
      <w:tr>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sz w:val="22"/>
                <w:lang w:val="en-US" w:eastAsia="zh-CN"/>
              </w:rPr>
            </w:pPr>
            <w:r>
              <w:rPr>
                <w:rFonts w:hint="eastAsia" w:ascii="宋体" w:hAnsi="宋体" w:eastAsia="宋体"/>
                <w:sz w:val="22"/>
                <w:lang w:val="en-US" w:eastAsia="zh-CN"/>
              </w:rPr>
              <w:t>周全</w:t>
            </w: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sz w:val="22"/>
                <w:lang w:val="en-US" w:eastAsia="zh-CN"/>
              </w:rPr>
            </w:pPr>
            <w:r>
              <w:rPr>
                <w:rFonts w:hint="eastAsia" w:ascii="宋体" w:hAnsi="宋体" w:eastAsia="宋体"/>
                <w:sz w:val="22"/>
                <w:lang w:val="en-US" w:eastAsia="zh-CN"/>
              </w:rPr>
              <w:t>13687525228</w:t>
            </w:r>
          </w:p>
        </w:tc>
      </w:tr>
    </w:tbl>
    <w:p>
      <w:pPr>
        <w:spacing w:line="570" w:lineRule="exact"/>
        <w:jc w:val="center"/>
        <w:rPr>
          <w:rFonts w:hint="eastAsia" w:ascii="方正小标宋简体" w:hAnsi="方正小标宋简体" w:eastAsia="方正小标宋简体" w:cs="方正小标宋简体"/>
          <w:b/>
          <w:bCs/>
          <w:sz w:val="36"/>
          <w:szCs w:val="36"/>
          <w:u w:val="single"/>
        </w:rPr>
      </w:pPr>
    </w:p>
    <w:p>
      <w:pPr>
        <w:spacing w:line="570" w:lineRule="exact"/>
        <w:jc w:val="center"/>
        <w:rPr>
          <w:rFonts w:hint="eastAsia" w:ascii="方正小标宋简体" w:hAnsi="方正小标宋简体" w:eastAsia="方正小标宋简体" w:cs="方正小标宋简体"/>
          <w:b/>
          <w:bCs/>
          <w:sz w:val="36"/>
          <w:szCs w:val="36"/>
          <w:u w:val="single"/>
        </w:rPr>
      </w:pPr>
    </w:p>
    <w:p>
      <w:pPr>
        <w:spacing w:line="570" w:lineRule="exact"/>
        <w:jc w:val="center"/>
        <w:rPr>
          <w:rFonts w:hint="eastAsia" w:ascii="方正小标宋简体" w:hAnsi="方正小标宋简体" w:eastAsia="方正小标宋简体" w:cs="方正小标宋简体"/>
          <w:b/>
          <w:bCs/>
          <w:sz w:val="36"/>
          <w:szCs w:val="36"/>
          <w:u w:val="single"/>
        </w:rPr>
      </w:pPr>
    </w:p>
    <w:p>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屯昌县中建农场大月岭矿区东矿段建筑用花岗岩矿300万吨花岗岩矿毛石（预售）交易</w:t>
      </w:r>
      <w:r>
        <w:rPr>
          <w:rFonts w:hint="eastAsia" w:ascii="方正小标宋_GBK" w:hAnsi="方正小标宋_GBK" w:eastAsia="方正小标宋_GBK" w:cs="方正小标宋_GBK"/>
          <w:b/>
          <w:bCs/>
          <w:sz w:val="36"/>
          <w:szCs w:val="36"/>
        </w:rPr>
        <w:t>公示</w:t>
      </w:r>
    </w:p>
    <w:p>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sz w:val="32"/>
          <w:szCs w:val="32"/>
          <w:u w:val="single"/>
          <w:lang w:val="en-US" w:eastAsia="zh-CN"/>
        </w:rPr>
        <w:t>海垦润丰（屯昌）新型环保建材有限公司</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sz w:val="32"/>
          <w:szCs w:val="32"/>
          <w:u w:val="single"/>
          <w:lang w:eastAsia="zh-CN"/>
        </w:rPr>
        <w:t>屯昌县中建农场大月岭矿区东矿段建筑用花岗岩矿300万吨花岗岩矿毛石（预售）</w:t>
      </w:r>
      <w:r>
        <w:rPr>
          <w:rFonts w:hint="eastAsia" w:asciiTheme="minorEastAsia" w:hAnsiTheme="minorEastAsia" w:eastAsiaTheme="minorEastAsia" w:cstheme="minorEastAsia"/>
          <w:sz w:val="32"/>
          <w:szCs w:val="32"/>
        </w:rPr>
        <w:t>在海南农村产权交易服务平台（https://hainan.nongjiao.com，以下简称“平台”）进行</w:t>
      </w:r>
      <w:r>
        <w:rPr>
          <w:rFonts w:hint="eastAsia" w:asciiTheme="minorEastAsia" w:hAnsiTheme="minorEastAsia" w:cstheme="minorEastAsia"/>
          <w:sz w:val="32"/>
          <w:szCs w:val="32"/>
          <w:lang w:val="en-US" w:eastAsia="zh-CN"/>
        </w:rPr>
        <w:t>转让</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pPr>
        <w:numPr>
          <w:ilvl w:val="0"/>
          <w:numId w:val="1"/>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pPr>
        <w:spacing w:line="52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sz w:val="28"/>
          <w:szCs w:val="28"/>
          <w:lang w:eastAsia="zh-CN"/>
        </w:rPr>
        <w:t>屯昌县中建农场大月岭矿区东矿段建筑用花岗岩矿300万吨花岗岩矿毛石（预售）</w:t>
      </w:r>
    </w:p>
    <w:p>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转让方</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cstheme="minorEastAsia"/>
          <w:sz w:val="28"/>
          <w:szCs w:val="28"/>
          <w:lang w:val="en-US" w:eastAsia="zh-CN"/>
        </w:rPr>
        <w:t>海垦润丰（屯昌）新型环保建材有限公司</w:t>
      </w:r>
    </w:p>
    <w:p>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挂牌数量</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300万吨</w:t>
      </w:r>
    </w:p>
    <w:p>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挂牌价格：96,000,000.00元（含税）</w:t>
      </w:r>
    </w:p>
    <w:p>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：19,200,000.00元</w:t>
      </w:r>
    </w:p>
    <w:p>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报名时间：2024-0</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27</w:t>
      </w:r>
      <w:r>
        <w:rPr>
          <w:rFonts w:hint="eastAsia" w:asciiTheme="minorEastAsia" w:hAnsiTheme="minorEastAsia" w:eastAsiaTheme="minorEastAsia" w:cstheme="minorEastAsia"/>
          <w:sz w:val="28"/>
          <w:szCs w:val="28"/>
        </w:rPr>
        <w:t xml:space="preserve"> 10:00至2024-0</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08</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竞价时间：2024-0</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 xml:space="preserve"> 10:00至2024-0</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16:00</w:t>
      </w:r>
    </w:p>
    <w:p>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预付款比例为合同总价款的42%，其中本次交易保证金为合同总价款的20%，在确认成交并签订交易合同及缴纳交易服务费后将直接划为合同预付价款，剩余预付款在合同签订后支付。后续根据进度进行付款，详见合同模板。</w:t>
      </w:r>
    </w:p>
    <w:p>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eastAsiaTheme="minorEastAsia" w:cstheme="minorEastAsia"/>
          <w:sz w:val="28"/>
          <w:szCs w:val="28"/>
          <w:lang w:val="en-US" w:eastAsia="zh-CN"/>
        </w:rPr>
        <w:t>0898-36811008</w:t>
      </w:r>
      <w:r>
        <w:rPr>
          <w:rFonts w:hint="eastAsia" w:asciiTheme="minorEastAsia" w:hAnsiTheme="minorEastAsia" w:cstheme="minorEastAsia"/>
          <w:sz w:val="28"/>
          <w:szCs w:val="28"/>
          <w:lang w:val="en-US" w:eastAsia="zh-CN"/>
        </w:rPr>
        <w:t xml:space="preserve"> </w:t>
      </w:r>
      <w:bookmarkStart w:id="29" w:name="_GoBack"/>
      <w:bookmarkEnd w:id="29"/>
    </w:p>
    <w:p>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监督电话：0898-65521815（报名热线）</w:t>
      </w:r>
    </w:p>
    <w:p>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报名地址：海南省海口市美兰区琼山大道86号江东电子商务产业园加速楼2楼。</w:t>
      </w:r>
    </w:p>
    <w:p>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https://hainan.nongjiao.com</w:t>
      </w:r>
      <w:r>
        <w:rPr>
          <w:rFonts w:hint="eastAsia" w:asciiTheme="minorEastAsia" w:hAnsiTheme="minorEastAsia" w:eastAsiaTheme="minorEastAsia" w:cstheme="minorEastAsia"/>
          <w:sz w:val="28"/>
          <w:szCs w:val="28"/>
        </w:rPr>
        <w:t>/查看，以网站项目详情页为准。或扫下方二维码关注挂网项目。</w:t>
      </w:r>
    </w:p>
    <w:p>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pPr>
        <w:pStyle w:val="5"/>
        <w:jc w:val="right"/>
        <w:rPr>
          <w:b/>
          <w:bCs/>
          <w:sz w:val="28"/>
          <w:szCs w:val="36"/>
        </w:rPr>
      </w:pPr>
      <w:r>
        <w:rPr>
          <w:rFonts w:hint="eastAsia"/>
          <w:b/>
          <w:bCs/>
          <w:sz w:val="28"/>
          <w:szCs w:val="36"/>
        </w:rPr>
        <w:t>已详细阅读此交易公示，对此交易公示内容无异议。</w:t>
      </w:r>
    </w:p>
    <w:p>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B57B36"/>
    <w:rsid w:val="00CD7376"/>
    <w:rsid w:val="00E03B4E"/>
    <w:rsid w:val="00E541D7"/>
    <w:rsid w:val="0A8721A0"/>
    <w:rsid w:val="0B7B2128"/>
    <w:rsid w:val="0B985CD3"/>
    <w:rsid w:val="0E9816ED"/>
    <w:rsid w:val="10396E71"/>
    <w:rsid w:val="11DE52CB"/>
    <w:rsid w:val="150A3847"/>
    <w:rsid w:val="18E10F33"/>
    <w:rsid w:val="1A0C35CC"/>
    <w:rsid w:val="2163678E"/>
    <w:rsid w:val="23C4301C"/>
    <w:rsid w:val="2741574C"/>
    <w:rsid w:val="2C765212"/>
    <w:rsid w:val="327E6635"/>
    <w:rsid w:val="3516702D"/>
    <w:rsid w:val="356B5D48"/>
    <w:rsid w:val="37E601A9"/>
    <w:rsid w:val="3A7A2C02"/>
    <w:rsid w:val="3EE84C2D"/>
    <w:rsid w:val="414B2C31"/>
    <w:rsid w:val="43315BEC"/>
    <w:rsid w:val="43AD1C7C"/>
    <w:rsid w:val="44912C24"/>
    <w:rsid w:val="47C03328"/>
    <w:rsid w:val="4C122427"/>
    <w:rsid w:val="4D440E1C"/>
    <w:rsid w:val="4DC33073"/>
    <w:rsid w:val="4E3F7559"/>
    <w:rsid w:val="4ECE0172"/>
    <w:rsid w:val="51516E47"/>
    <w:rsid w:val="5CF93C67"/>
    <w:rsid w:val="64515E2E"/>
    <w:rsid w:val="64D61FAB"/>
    <w:rsid w:val="786A7F85"/>
    <w:rsid w:val="791505B4"/>
    <w:rsid w:val="7A7C6A82"/>
    <w:rsid w:val="7AEC65E8"/>
    <w:rsid w:val="7C576EE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2765</Words>
  <Characters>3003</Characters>
  <Lines>59</Lines>
  <Paragraphs>16</Paragraphs>
  <TotalTime>8</TotalTime>
  <ScaleCrop>false</ScaleCrop>
  <LinksUpToDate>false</LinksUpToDate>
  <CharactersWithSpaces>3457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2024-05-27T10:09:30Z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06F19D4F827C461C81A0AA1F7710A045_13</vt:lpwstr>
  </property>
</Properties>
</file>