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sz w:val="44"/>
          <w:szCs w:val="44"/>
        </w:rPr>
        <w:t>林地抚育施工项目承包合同（模板）</w:t>
      </w:r>
      <w:r>
        <w:rPr>
          <w:rFonts w:hint="eastAsia" w:ascii="仿宋_GB2312" w:hAnsi="仿宋_GB2312" w:eastAsia="仿宋_GB2312" w:cs="仿宋_GB2312"/>
          <w:sz w:val="32"/>
          <w:szCs w:val="32"/>
        </w:rPr>
        <w:t xml:space="preserve">                      </w:t>
      </w:r>
    </w:p>
    <w:p>
      <w:pPr>
        <w:pStyle w:val="3"/>
        <w:spacing w:line="560" w:lineRule="exact"/>
        <w:rPr>
          <w:rFonts w:hint="default" w:ascii="楷体_GB2312" w:hAnsi="楷体_GB2312" w:eastAsia="楷体_GB2312" w:cs="楷体_GB2312"/>
          <w:sz w:val="28"/>
          <w:szCs w:val="28"/>
          <w:lang w:val="en-US" w:eastAsia="zh-CN"/>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28"/>
          <w:szCs w:val="28"/>
        </w:rPr>
        <w:t>合同号：LWLT-2024</w:t>
      </w:r>
      <w:r>
        <w:rPr>
          <w:rFonts w:hint="eastAsia" w:ascii="楷体_GB2312" w:hAnsi="楷体_GB2312" w:eastAsia="楷体_GB2312" w:cs="楷体_GB2312"/>
          <w:sz w:val="28"/>
          <w:szCs w:val="28"/>
          <w:lang w:val="en-US" w:eastAsia="zh-CN"/>
        </w:rPr>
        <w:t>XX</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甲方将位于**县***镇**林场**林班**小班约**亩林木抚育施工项目承包给乙方（结算面积以双方现场实际勾图范围计算为准）。为确保基地抚育项目能按时按质按量顺利完成，经甲乙双方协商一致，达成本合同。</w:t>
      </w:r>
    </w:p>
    <w:p>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1.砍杂：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255"/>
          <w:numId w:val="0"/>
        </w:numPr>
        <w:tabs>
          <w:tab w:val="left" w:pos="1155"/>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2.追肥（含供肥单位停车点的肥料卸车、供肥单位卸车点到乙方所承包林地内的肥料转运及看管）：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0"/>
          <w:numId w:val="1"/>
        </w:numPr>
        <w:tabs>
          <w:tab w:val="left" w:pos="1155"/>
          <w:tab w:val="clear" w:pos="312"/>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除萌：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0"/>
          <w:numId w:val="1"/>
        </w:numPr>
        <w:tabs>
          <w:tab w:val="left" w:pos="1155"/>
          <w:tab w:val="clear" w:pos="312"/>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喷除草剂：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0"/>
          <w:numId w:val="1"/>
        </w:numPr>
        <w:tabs>
          <w:tab w:val="left" w:pos="1155"/>
          <w:tab w:val="clear" w:pos="312"/>
        </w:tabs>
        <w:spacing w:line="56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lang w:val="en-US" w:eastAsia="zh-CN"/>
        </w:rPr>
        <w:t>老树桩灭桩：</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元/亩</w:t>
      </w:r>
    </w:p>
    <w:p>
      <w:pPr>
        <w:pStyle w:val="3"/>
        <w:numPr>
          <w:ilvl w:val="255"/>
          <w:numId w:val="0"/>
        </w:numPr>
        <w:tabs>
          <w:tab w:val="left" w:pos="1155"/>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元/亩（含税）。</w:t>
      </w:r>
    </w:p>
    <w:p>
      <w:pPr>
        <w:pStyle w:val="3"/>
        <w:tabs>
          <w:tab w:val="left" w:pos="1155"/>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本合同承包费用总价约为：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元（含税），以甲乙双方结算数据为准。</w:t>
      </w:r>
    </w:p>
    <w:p>
      <w:pPr>
        <w:pStyle w:val="3"/>
        <w:tabs>
          <w:tab w:val="left" w:pos="1155"/>
        </w:tab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施工时间和期限：</w:t>
      </w:r>
      <w:r>
        <w:rPr>
          <w:rFonts w:hint="eastAsia" w:ascii="仿宋_GB2312" w:hAnsi="仿宋_GB2312" w:eastAsia="仿宋_GB2312" w:cs="仿宋_GB2312"/>
          <w:sz w:val="32"/>
          <w:szCs w:val="32"/>
        </w:rPr>
        <w:t>2024年*月*日前完成，当遇到不可抗力原因，如地震、台风、大暴雨等严重的自然灾害导致无法正常施工，乙方可向甲方提请书面的延期施工申请，甲方批准后出具同意延期施工的通知书后方能延长施工期限，原则上延长施工期限总时间不得超过三个月。</w:t>
      </w:r>
    </w:p>
    <w:p>
      <w:pPr>
        <w:pStyle w:val="3"/>
        <w:numPr>
          <w:ilvl w:val="0"/>
          <w:numId w:val="2"/>
        </w:numPr>
        <w:tabs>
          <w:tab w:val="left" w:pos="1155"/>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施工内容及质量要求</w:t>
      </w:r>
    </w:p>
    <w:p>
      <w:pPr>
        <w:pStyle w:val="3"/>
        <w:numPr>
          <w:ilvl w:val="255"/>
          <w:numId w:val="0"/>
        </w:numPr>
        <w:tabs>
          <w:tab w:val="left" w:pos="1155"/>
        </w:tab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1.砍杂：</w:t>
      </w:r>
      <w:r>
        <w:rPr>
          <w:rFonts w:hint="eastAsia" w:ascii="仿宋_GB2312" w:hAnsi="仿宋_GB2312" w:eastAsia="仿宋_GB2312" w:cs="仿宋_GB2312"/>
          <w:sz w:val="32"/>
          <w:szCs w:val="32"/>
        </w:rPr>
        <w:t>砍除林地内所有的杂草、灌丛、藤类、竹子和甲方指定林分6公分以下萌芽条等，砍后杂草、灌丛等的根不得高出地面15厘米，且伐倒物不能覆盖到桉树幼苗上；施工合格率（按面积计）经甲方验收达到98%。</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2.追肥：</w:t>
      </w:r>
      <w:r>
        <w:rPr>
          <w:rFonts w:hint="eastAsia" w:ascii="仿宋_GB2312" w:hAnsi="仿宋_GB2312" w:eastAsia="仿宋_GB2312" w:cs="仿宋_GB2312"/>
          <w:sz w:val="32"/>
          <w:szCs w:val="32"/>
        </w:rPr>
        <w:t>按一树一坑的原则，在距离树根50厘米处挖长宽深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厘米的施肥坑，将复合肥放入，再覆土，肥料不能露出土面，施肥量：</w:t>
      </w:r>
      <w:r>
        <w:rPr>
          <w:rFonts w:hint="eastAsia" w:ascii="仿宋_GB2312" w:hAnsi="仿宋_GB2312" w:eastAsia="仿宋_GB2312" w:cs="仿宋_GB2312"/>
          <w:b/>
          <w:bCs/>
          <w:sz w:val="32"/>
          <w:szCs w:val="32"/>
          <w:u w:val="single"/>
        </w:rPr>
        <w:t>0.5公斤/株</w:t>
      </w:r>
      <w:r>
        <w:rPr>
          <w:rFonts w:hint="eastAsia" w:ascii="仿宋_GB2312" w:hAnsi="仿宋_GB2312" w:eastAsia="仿宋_GB2312" w:cs="仿宋_GB2312"/>
          <w:sz w:val="32"/>
          <w:szCs w:val="32"/>
        </w:rPr>
        <w:t>，施肥要求使用量杯量取肥料后投放，用锄头回土，不允许用脚回土，不允许有肥料散落坑外，施工合格率（按需施肥的桉树/松树株数计）经甲方验收达到98%。</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601" w:firstLineChars="187"/>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rPr>
        <w:t>3.除萌：</w:t>
      </w:r>
      <w:r>
        <w:rPr>
          <w:rFonts w:hint="eastAsia" w:ascii="仿宋_GB2312" w:hAnsi="仿宋_GB2312" w:eastAsia="仿宋_GB2312" w:cs="仿宋_GB2312"/>
          <w:b w:val="0"/>
          <w:bCs w:val="0"/>
          <w:kern w:val="2"/>
          <w:sz w:val="32"/>
          <w:szCs w:val="32"/>
          <w:lang w:val="en-US" w:eastAsia="zh-CN" w:bidi="ar-SA"/>
        </w:rPr>
        <w:t>要求在靠近伐桩基部选留粗壮、生长势好、无病虫危害的萌芽条，</w:t>
      </w:r>
      <w:r>
        <w:rPr>
          <w:rFonts w:hint="eastAsia" w:ascii="仿宋_GB2312" w:hAnsi="仿宋_GB2312" w:eastAsia="仿宋_GB2312" w:cs="仿宋_GB2312"/>
          <w:sz w:val="32"/>
          <w:szCs w:val="32"/>
        </w:rPr>
        <w:t>茎秆相同且靠近地面的萌条，</w:t>
      </w:r>
      <w:r>
        <w:rPr>
          <w:rFonts w:hint="eastAsia" w:ascii="仿宋_GB2312" w:hAnsi="仿宋_GB2312" w:eastAsia="仿宋_GB2312" w:cs="仿宋_GB2312"/>
          <w:b w:val="0"/>
          <w:bCs w:val="0"/>
          <w:kern w:val="2"/>
          <w:sz w:val="32"/>
          <w:szCs w:val="32"/>
          <w:lang w:val="en-US" w:eastAsia="zh-CN" w:bidi="ar-SA"/>
        </w:rPr>
        <w:t>原则上留</w:t>
      </w:r>
      <w:r>
        <w:rPr>
          <w:rFonts w:hint="default"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株/树蔸，</w:t>
      </w:r>
      <w:r>
        <w:rPr>
          <w:rFonts w:hint="eastAsia" w:ascii="仿宋_GB2312" w:hAnsi="仿宋_GB2312" w:eastAsia="仿宋_GB2312" w:cs="仿宋_GB2312"/>
          <w:sz w:val="32"/>
          <w:szCs w:val="32"/>
        </w:rPr>
        <w:t>其余萌条砍除，砍桩不超过15公分，林木保存率高，较稀的地方保留3根萌条，</w:t>
      </w:r>
      <w:r>
        <w:rPr>
          <w:rFonts w:hint="eastAsia" w:ascii="仿宋_GB2312" w:hAnsi="仿宋_GB2312" w:eastAsia="仿宋_GB2312" w:cs="仿宋_GB2312"/>
          <w:b w:val="0"/>
          <w:bCs w:val="0"/>
          <w:kern w:val="2"/>
          <w:sz w:val="32"/>
          <w:szCs w:val="32"/>
          <w:lang w:val="en-US" w:eastAsia="zh-CN" w:bidi="ar-SA"/>
        </w:rPr>
        <w:t>将林地内明显被压、分化严重、树干较不通直、林分密度过大、有病虫害的林木砍除，杜绝出现开林空、天窗等现象，如连续三株及以上需砍除的，需隔株保留，施工合格率经甲方验收达到</w:t>
      </w:r>
      <w:r>
        <w:rPr>
          <w:rFonts w:hint="default" w:ascii="仿宋_GB2312" w:hAnsi="仿宋_GB2312" w:eastAsia="仿宋_GB2312" w:cs="仿宋_GB2312"/>
          <w:b w:val="0"/>
          <w:bCs w:val="0"/>
          <w:kern w:val="2"/>
          <w:sz w:val="32"/>
          <w:szCs w:val="32"/>
          <w:lang w:val="en-US" w:eastAsia="zh-CN" w:bidi="ar-SA"/>
        </w:rPr>
        <w:t>98</w:t>
      </w:r>
      <w:r>
        <w:rPr>
          <w:rFonts w:hint="eastAsia" w:ascii="仿宋_GB2312" w:hAnsi="仿宋_GB2312" w:eastAsia="仿宋_GB2312" w:cs="仿宋_GB2312"/>
          <w:b w:val="0"/>
          <w:bCs w:val="0"/>
          <w:kern w:val="2"/>
          <w:sz w:val="32"/>
          <w:szCs w:val="32"/>
          <w:lang w:val="en-US" w:eastAsia="zh-CN" w:bidi="ar-SA"/>
        </w:rPr>
        <w:t>%以上。</w:t>
      </w:r>
    </w:p>
    <w:p>
      <w:pPr>
        <w:pStyle w:val="3"/>
        <w:numPr>
          <w:ilvl w:val="0"/>
          <w:numId w:val="0"/>
        </w:numPr>
        <w:tabs>
          <w:tab w:val="left" w:pos="504"/>
          <w:tab w:val="left" w:pos="1155"/>
        </w:tabs>
        <w:spacing w:line="560" w:lineRule="exact"/>
        <w:ind w:firstLine="601" w:firstLineChars="187"/>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4.喷除草剂：</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（1）施工条件：用草甘膦喷洒至杂草灌、芒蔸全部枯死。</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（2）技术要求：除草剂种类用草甘膦，全面喷除林地内的杂草、灌木、芒蔸等，并将不能喷死的杂灌木、藤类等砍除，杂草死亡率98%以上，砍除的杂灌、藤类等砍根低于15cm，合格率98%以上。</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（3）要求取水配药时，不能直接在人畜饮水池、水塘、水库边配药，以防污染水源。</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（4）喷洒除草剂时，乙方负安全责任，要敦促施工人员做好安全防护，确保安全。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32"/>
          <w:szCs w:val="32"/>
          <w:lang w:val="en-US" w:eastAsia="zh-CN"/>
        </w:rPr>
        <w:t>5.老树桩灭桩：</w:t>
      </w:r>
      <w:r>
        <w:rPr>
          <w:rFonts w:hint="eastAsia" w:ascii="仿宋_GB2312" w:hAnsi="仿宋_GB2312" w:eastAsia="仿宋_GB2312" w:cs="仿宋_GB2312"/>
          <w:kern w:val="2"/>
          <w:sz w:val="32"/>
          <w:szCs w:val="32"/>
          <w:lang w:val="en-US" w:eastAsia="zh-CN" w:bidi="ar-SA"/>
        </w:rPr>
        <w:t>使用药剂将老树桩和萌芽条处理至死的效果，老树桩死亡率达到95%以上。</w:t>
      </w:r>
    </w:p>
    <w:p>
      <w:pPr>
        <w:pStyle w:val="3"/>
        <w:numPr>
          <w:ilvl w:val="0"/>
          <w:numId w:val="3"/>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施工要求和工序安排</w:t>
      </w:r>
    </w:p>
    <w:p>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1.林地的施工工序实施顺序和开工时间，由甲方根据林地情况出具的《开工通知书》为准。</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2.乙方须在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出具的《开工通知书》期限内安排施工队伍进场</w:t>
      </w:r>
      <w:r>
        <w:rPr>
          <w:rFonts w:hint="eastAsia" w:ascii="仿宋_GB2312" w:hAnsi="仿宋_GB2312" w:eastAsia="仿宋_GB2312" w:cs="仿宋_GB2312"/>
          <w:sz w:val="32"/>
          <w:szCs w:val="32"/>
          <w:lang w:val="en-US" w:eastAsia="zh-CN"/>
        </w:rPr>
        <w:t>开始施工</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书面同意延期开工，每延期一天扣减合同履约保证金100元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超出10日未安排有施工人员进场施工的，甲方有权解除本合同，并没收乙方缴纳的履约保证金</w:t>
      </w:r>
      <w:r>
        <w:rPr>
          <w:rFonts w:hint="eastAsia" w:ascii="仿宋_GB2312" w:hAnsi="仿宋_GB2312" w:eastAsia="仿宋_GB2312" w:cs="仿宋_GB2312"/>
          <w:sz w:val="32"/>
          <w:szCs w:val="32"/>
        </w:rPr>
        <w:t>。如遇不可抗力因素，导致工期延长或无法完成，乙方须在不可抗力事件发生后在</w:t>
      </w:r>
      <w:r>
        <w:rPr>
          <w:rFonts w:hint="eastAsia" w:ascii="仿宋_GB2312" w:hAnsi="仿宋_GB2312" w:eastAsia="仿宋_GB2312" w:cs="仿宋_GB2312"/>
          <w:b/>
          <w:bCs/>
          <w:sz w:val="32"/>
          <w:szCs w:val="32"/>
          <w:u w:val="single"/>
        </w:rPr>
        <w:t>12</w:t>
      </w:r>
      <w:r>
        <w:rPr>
          <w:rFonts w:hint="eastAsia" w:ascii="仿宋_GB2312" w:hAnsi="仿宋_GB2312" w:eastAsia="仿宋_GB2312" w:cs="仿宋_GB2312"/>
          <w:sz w:val="32"/>
          <w:szCs w:val="32"/>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4.对施工人员进行安全教育并在民工工棚设置和张贴安全注意事项，未开展此项工作扣减合同履约保证金100元。</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5.组织施工人员建立施工质量示范点，未开展此项工作扣减合同履约保证金500元。</w:t>
      </w:r>
    </w:p>
    <w:p>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3.若该次验收不合格，砍杂、定萌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喷除草剂、老树桩灭桩</w:t>
      </w:r>
      <w:r>
        <w:rPr>
          <w:rFonts w:hint="eastAsia" w:ascii="仿宋_GB2312" w:hAnsi="仿宋_GB2312" w:eastAsia="仿宋_GB2312" w:cs="仿宋_GB2312"/>
          <w:kern w:val="0"/>
          <w:sz w:val="32"/>
          <w:szCs w:val="32"/>
        </w:rPr>
        <w:t>工序须返工，甲方开具返工通知单给乙方，返工自检合格后方可再次报验。</w:t>
      </w:r>
      <w:r>
        <w:rPr>
          <w:rFonts w:hint="eastAsia" w:ascii="仿宋_GB2312" w:hAnsi="仿宋_GB2312" w:eastAsia="仿宋_GB2312" w:cs="仿宋_GB2312"/>
          <w:sz w:val="32"/>
          <w:szCs w:val="32"/>
        </w:rPr>
        <w:t>不分阶段的工序，乙方最多只能申请2次验收。乙方申请分阶段验收的，该阶段最多只能申请2次验收。</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追肥工序不返工，只验收一次。</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pPr>
        <w:autoSpaceDE w:val="0"/>
        <w:autoSpaceDN w:val="0"/>
        <w:adjustRightInd w:val="0"/>
        <w:spacing w:line="560" w:lineRule="exact"/>
        <w:ind w:firstLine="601" w:firstLineChars="187"/>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  合同履约保证金</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lang w:val="en-US" w:eastAsia="zh-CN"/>
        </w:rPr>
        <w:t>XX整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XX），该剩余款项用于抵扣本</w:t>
      </w:r>
      <w:r>
        <w:rPr>
          <w:rFonts w:hint="eastAsia" w:ascii="仿宋_GB2312" w:hAnsi="仿宋_GB2312" w:eastAsia="仿宋_GB2312" w:cs="仿宋_GB2312"/>
          <w:sz w:val="32"/>
          <w:szCs w:val="32"/>
        </w:rPr>
        <w:t xml:space="preserve">合同履约保证金（本合同承包金总额约为 </w:t>
      </w:r>
      <w:r>
        <w:rPr>
          <w:rFonts w:hint="eastAsia" w:ascii="仿宋_GB2312" w:hAnsi="仿宋_GB2312" w:eastAsia="仿宋_GB2312" w:cs="仿宋_GB2312"/>
          <w:sz w:val="32"/>
          <w:szCs w:val="32"/>
          <w:lang w:eastAsia="zh-CN"/>
        </w:rPr>
        <w:t>X</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，如乙方交纳的交易保证金未达到本合同承包金总额的5%，乙方需在本合同签订之日起5日内补足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若不按时补足的，甲方有权从</w:t>
      </w:r>
      <w:r>
        <w:rPr>
          <w:rFonts w:hint="eastAsia" w:ascii="仿宋_GB2312" w:hAnsi="仿宋_GB2312" w:eastAsia="仿宋_GB2312" w:cs="仿宋_GB2312"/>
          <w:sz w:val="32"/>
          <w:szCs w:val="32"/>
        </w:rPr>
        <w:t>未付承包金中直接扣除</w:t>
      </w:r>
      <w:r>
        <w:rPr>
          <w:rFonts w:hint="eastAsia" w:ascii="仿宋_GB2312" w:hAnsi="仿宋_GB2312" w:eastAsia="仿宋_GB2312" w:cs="仿宋_GB2312"/>
          <w:sz w:val="32"/>
          <w:szCs w:val="32"/>
          <w:lang w:val="en-US" w:eastAsia="zh-CN"/>
        </w:rPr>
        <w:t>用于补足履约保证金</w:t>
      </w:r>
      <w:r>
        <w:rPr>
          <w:rFonts w:hint="eastAsia" w:ascii="仿宋_GB2312" w:hAnsi="仿宋_GB2312" w:eastAsia="仿宋_GB2312" w:cs="仿宋_GB2312"/>
          <w:sz w:val="32"/>
          <w:szCs w:val="32"/>
          <w:lang w:eastAsia="zh-CN"/>
        </w:rPr>
        <w:t>。</w:t>
      </w:r>
    </w:p>
    <w:p>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2.乙方按甲方的要求办理结算手续后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日内，甲方向乙方退回履约保证金（无息）。</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乙方指定收款账户如下：</w:t>
      </w:r>
    </w:p>
    <w:p>
      <w:pPr>
        <w:pStyle w:val="3"/>
        <w:spacing w:line="560" w:lineRule="exact"/>
        <w:ind w:firstLine="480" w:firstLineChars="1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u w:val="single"/>
        </w:rPr>
        <w:t xml:space="preserve">                        </w:t>
      </w:r>
    </w:p>
    <w:p>
      <w:pPr>
        <w:pStyle w:val="3"/>
        <w:spacing w:line="560" w:lineRule="exact"/>
        <w:ind w:firstLine="480" w:firstLineChars="1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pStyle w:val="3"/>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1.甲方职责</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pPr>
        <w:pStyle w:val="3"/>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2.乙方职责</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pPr>
        <w:pStyle w:val="3"/>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0"/>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singl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pPr>
        <w:pStyle w:val="2"/>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4.乙方因违反本合同需支付的违约金、损失赔偿等费用，甲方有权从未付承包费用中直接扣除。</w:t>
      </w:r>
    </w:p>
    <w:p>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乙方的送达地址为：</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      联系电话为：</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pPr>
        <w:pStyle w:val="3"/>
        <w:spacing w:line="560" w:lineRule="exact"/>
        <w:rPr>
          <w:rFonts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甲方：南宁市罗文林业投资有限责任公司（盖章）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3"/>
        <w:spacing w:line="560" w:lineRule="exact"/>
        <w:ind w:firstLine="640" w:firstLineChars="200"/>
        <w:rPr>
          <w:rFonts w:ascii="仿宋_GB2312" w:hAnsi="仿宋_GB2312" w:eastAsia="仿宋_GB2312" w:cs="仿宋_GB2312"/>
          <w:sz w:val="32"/>
          <w:szCs w:val="32"/>
        </w:rPr>
      </w:pP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pPr>
        <w:pStyle w:val="3"/>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3"/>
        <w:spacing w:line="56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footerReference r:id="rId5" w:type="even"/>
      <w:pgSz w:w="11907" w:h="16840"/>
      <w:pgMar w:top="2154" w:right="1417" w:bottom="1984"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3278"/>
    <w:multiLevelType w:val="singleLevel"/>
    <w:tmpl w:val="8EE33278"/>
    <w:lvl w:ilvl="0" w:tentative="0">
      <w:start w:val="3"/>
      <w:numFmt w:val="decimal"/>
      <w:lvlText w:val="%1."/>
      <w:lvlJc w:val="left"/>
      <w:pPr>
        <w:tabs>
          <w:tab w:val="left" w:pos="312"/>
        </w:tabs>
      </w:pPr>
    </w:lvl>
  </w:abstractNum>
  <w:abstractNum w:abstractNumId="1">
    <w:nsid w:val="DFE2D8C1"/>
    <w:multiLevelType w:val="singleLevel"/>
    <w:tmpl w:val="DFE2D8C1"/>
    <w:lvl w:ilvl="0" w:tentative="0">
      <w:start w:val="3"/>
      <w:numFmt w:val="chineseCounting"/>
      <w:suff w:val="space"/>
      <w:lvlText w:val="第%1条"/>
      <w:lvlJc w:val="left"/>
      <w:rPr>
        <w:rFonts w:hint="eastAsia"/>
      </w:rPr>
    </w:lvl>
  </w:abstractNum>
  <w:abstractNum w:abstractNumId="2">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OTFiNzhlNWQyYzFlNzFkZTQ1MzQyNjA3YmQ2N2EifQ=="/>
  </w:docVars>
  <w:rsids>
    <w:rsidRoot w:val="00AB0F01"/>
    <w:rsid w:val="004E5EAD"/>
    <w:rsid w:val="00792B36"/>
    <w:rsid w:val="009D7A9C"/>
    <w:rsid w:val="00AB0F01"/>
    <w:rsid w:val="023F53CE"/>
    <w:rsid w:val="07CB60DE"/>
    <w:rsid w:val="0A6816F7"/>
    <w:rsid w:val="1C613F1D"/>
    <w:rsid w:val="228254C3"/>
    <w:rsid w:val="267620DE"/>
    <w:rsid w:val="28E0097B"/>
    <w:rsid w:val="29903898"/>
    <w:rsid w:val="402561F4"/>
    <w:rsid w:val="478513C1"/>
    <w:rsid w:val="484128EC"/>
    <w:rsid w:val="55AE5E5A"/>
    <w:rsid w:val="618F0215"/>
    <w:rsid w:val="66D87FC1"/>
    <w:rsid w:val="683A4DD3"/>
    <w:rsid w:val="697B3B35"/>
    <w:rsid w:val="6D7C272C"/>
    <w:rsid w:val="703D3989"/>
    <w:rsid w:val="7056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Plain Text"/>
    <w:basedOn w:val="1"/>
    <w:link w:val="16"/>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paragraph" w:customStyle="1" w:styleId="12">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3">
    <w:name w:val="批注文字 字符"/>
    <w:link w:val="2"/>
    <w:autoRedefine/>
    <w:qFormat/>
    <w:uiPriority w:val="0"/>
    <w:rPr>
      <w:kern w:val="2"/>
      <w:sz w:val="21"/>
    </w:rPr>
  </w:style>
  <w:style w:type="character" w:customStyle="1" w:styleId="14">
    <w:name w:val="批注主题 字符"/>
    <w:link w:val="7"/>
    <w:autoRedefine/>
    <w:qFormat/>
    <w:uiPriority w:val="0"/>
    <w:rPr>
      <w:b/>
      <w:bCs/>
      <w:kern w:val="2"/>
      <w:sz w:val="21"/>
    </w:rPr>
  </w:style>
  <w:style w:type="paragraph" w:customStyle="1" w:styleId="15">
    <w:name w:val="Revision"/>
    <w:hidden/>
    <w:semiHidden/>
    <w:qFormat/>
    <w:uiPriority w:val="99"/>
    <w:rPr>
      <w:rFonts w:ascii="Times New Roman" w:hAnsi="Times New Roman" w:eastAsia="宋体" w:cs="Times New Roman"/>
      <w:kern w:val="2"/>
      <w:sz w:val="21"/>
      <w:lang w:val="en-US" w:eastAsia="zh-CN" w:bidi="ar-SA"/>
    </w:rPr>
  </w:style>
  <w:style w:type="character" w:customStyle="1" w:styleId="16">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11</Pages>
  <Words>4896</Words>
  <Characters>5023</Characters>
  <Lines>41</Lines>
  <Paragraphs>11</Paragraphs>
  <TotalTime>19</TotalTime>
  <ScaleCrop>false</ScaleCrop>
  <LinksUpToDate>false</LinksUpToDate>
  <CharactersWithSpaces>5456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农齐嵩_</cp:lastModifiedBy>
  <cp:lastPrinted>2018-03-30T00:28:00Z</cp:lastPrinted>
  <dcterms:modified xsi:type="dcterms:W3CDTF">2024-06-17T01:55:19Z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CB8A6031DFA045D8B2708EE352B10F8D_13</vt:lpwstr>
  </property>
</Properties>
</file>