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0F8B3C26">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0910"/>
      <w:bookmarkStart w:id="2" w:name="_Toc21762"/>
      <w:bookmarkStart w:id="3" w:name="_Toc21422"/>
      <w:bookmarkStart w:id="4" w:name="_Toc15737"/>
      <w:bookmarkStart w:id="5" w:name="_Toc24454"/>
      <w:bookmarkStart w:id="6" w:name="_Toc32320"/>
      <w:bookmarkStart w:id="7" w:name="_Toc11918"/>
      <w:bookmarkStart w:id="8" w:name="_Toc25712"/>
      <w:bookmarkStart w:id="9" w:name="_Toc13462"/>
      <w:bookmarkStart w:id="10" w:name="_Toc12789"/>
      <w:bookmarkStart w:id="11" w:name="_Toc24068"/>
      <w:bookmarkStart w:id="12" w:name="_Toc8396"/>
      <w:bookmarkStart w:id="13" w:name="_Toc24727"/>
      <w:bookmarkStart w:id="14" w:name="_Toc20033"/>
      <w:bookmarkStart w:id="15" w:name="_Toc7615"/>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color w:val="FF0000"/>
          <w:sz w:val="28"/>
          <w:szCs w:val="28"/>
          <w:u w:val="single"/>
        </w:rPr>
        <w:t>琼中县重桶岭东南面一带地块2总面积为13592.67㎡(折合20.389亩)国有农用地使用权出租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12437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2D7D65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琼中县重桶岭东南面一带地块2总面积为13592.67㎡(折合20.389亩)国有农用地使用权出租(折合32.109亩)国有农用地使用权出租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琼中县重桶岭东南面一带地块2总面积为13592.67㎡(折合20.389亩)国有农用地使用权出租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琼中县重桶岭东南面一带地块2总面积为13592.67㎡(折合20.389亩)国有农用地使用权出租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32EC873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琼中县重桶岭东南面一带地块2总面积为13592.67㎡(折合20.389亩)国有农用地使用权出租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29841"/>
      <w:bookmarkStart w:id="29" w:name="_Toc12264"/>
      <w:bookmarkStart w:id="30" w:name="_Toc14469"/>
      <w:bookmarkStart w:id="31" w:name="_Toc32101"/>
      <w:bookmarkStart w:id="32" w:name="_Toc11237"/>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r>
              <w:rPr>
                <w:rFonts w:hint="eastAsia" w:ascii="宋体" w:hAnsi="宋体" w:eastAsia="宋体"/>
                <w:sz w:val="22"/>
                <w:lang w:val="en-US" w:eastAsia="zh-CN"/>
              </w:rPr>
              <w:t>歌舞娱乐活动；食品销售；餐饮服务；酒类经营</w:t>
            </w: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琼中县重桶岭东南面一带地块2总面积为13592.67㎡(折合20.389亩)国有农用地使用权出租交易</w:t>
      </w:r>
      <w:r>
        <w:rPr>
          <w:rFonts w:hint="eastAsia" w:ascii="方正小标宋_GBK" w:hAnsi="方正小标宋_GBK" w:eastAsia="方正小标宋_GBK" w:cs="方正小标宋_GBK"/>
          <w:b/>
          <w:bCs/>
          <w:sz w:val="36"/>
          <w:szCs w:val="36"/>
        </w:rPr>
        <w:t>公示</w:t>
      </w:r>
    </w:p>
    <w:p w14:paraId="46EC0671">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eastAsiaTheme="minorEastAsia" w:cstheme="minorEastAsia"/>
          <w:b/>
          <w:bCs/>
          <w:sz w:val="32"/>
          <w:szCs w:val="32"/>
          <w:u w:val="single"/>
          <w:lang w:val="en-US" w:eastAsia="zh-CN"/>
        </w:rPr>
        <w:t>琼中县重桶岭东南面一带地块2总面积为13592.67㎡(折合20.389亩)国有农用地使用权出租</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琼中县</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1C49BB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eastAsiaTheme="minorEastAsia" w:cstheme="minorEastAsia"/>
          <w:sz w:val="28"/>
          <w:szCs w:val="28"/>
          <w:lang w:val="en-US" w:eastAsia="zh-CN"/>
        </w:rPr>
        <w:t>琼中县重桶岭东南面一带地块2总面积为13592.67㎡(折合20.389亩)国有农用地使用权出租</w:t>
      </w:r>
    </w:p>
    <w:bookmarkEnd w:id="36"/>
    <w:p w14:paraId="543214C8">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4BD0557E">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13592.67㎡(折合20.389亩)</w:t>
      </w:r>
    </w:p>
    <w:p w14:paraId="460F2446">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出租期限：20年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挂牌价格：12437元/年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：2487元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2024年7月31日10:00至2024年8月8日10:00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2024年8月9日10:00至16:00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p w14:paraId="45CB2870">
      <w:pPr>
        <w:pStyle w:val="7"/>
        <w:rPr>
          <w:rFonts w:hint="eastAsia" w:eastAsiaTheme="minorEastAsia"/>
          <w:lang w:eastAsia="zh-CN"/>
        </w:rPr>
      </w:pPr>
    </w:p>
    <w:p w14:paraId="4F28952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7301</Words>
  <Characters>7870</Characters>
  <Lines>59</Lines>
  <Paragraphs>16</Paragraphs>
  <TotalTime>4</TotalTime>
  <ScaleCrop>false</ScaleCrop>
  <LinksUpToDate>false</LinksUpToDate>
  <CharactersWithSpaces>8373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2024-07-31T00:14:24Z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F49770B7ED164001866A86A167004FF8_13</vt:lpwstr>
  </property>
</Properties>
</file>