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4DB7F2">
      <w:pPr>
        <w:jc w:val="left"/>
        <w:outlineLvl w:val="0"/>
        <w:rPr>
          <w:rFonts w:ascii="仿宋_GB2312" w:hAnsi="仿宋_GB2312" w:eastAsia="仿宋_GB2312" w:cs="仿宋_GB2312"/>
          <w:b/>
          <w:bCs/>
          <w:color w:val="FF0000"/>
          <w:sz w:val="30"/>
          <w:szCs w:val="30"/>
        </w:rPr>
      </w:pPr>
      <w:bookmarkStart w:id="0" w:name="_Toc30739"/>
      <w:r>
        <w:rPr>
          <w:rFonts w:hint="eastAsia" w:ascii="仿宋_GB2312" w:hAnsi="仿宋_GB2312" w:eastAsia="仿宋_GB2312" w:cs="仿宋_GB2312"/>
          <w:b/>
          <w:bCs/>
          <w:color w:val="FF0000"/>
          <w:sz w:val="30"/>
          <w:szCs w:val="30"/>
        </w:rPr>
        <w:t>※权证信息页无需打印，只需用户提供对应身份的材料复印件即可。</w:t>
      </w:r>
    </w:p>
    <w:p w14:paraId="4169BD3C">
      <w:pPr>
        <w:jc w:val="left"/>
        <w:outlineLvl w:val="0"/>
        <w:rPr>
          <w:rFonts w:ascii="仿宋_GB2312" w:hAnsi="仿宋_GB2312" w:eastAsia="仿宋_GB2312" w:cs="仿宋_GB2312"/>
          <w:b/>
          <w:bCs/>
          <w:color w:val="FF0000"/>
          <w:sz w:val="30"/>
          <w:szCs w:val="30"/>
        </w:rPr>
      </w:pPr>
      <w:r>
        <w:rPr>
          <w:rFonts w:hint="eastAsia" w:ascii="仿宋_GB2312" w:hAnsi="仿宋_GB2312" w:eastAsia="仿宋_GB2312" w:cs="仿宋_GB2312"/>
          <w:b/>
          <w:bCs/>
          <w:color w:val="FF0000"/>
          <w:sz w:val="30"/>
          <w:szCs w:val="30"/>
        </w:rPr>
        <w:t>1、权证信息（如身份证、营业执照、委托授权书等）</w:t>
      </w:r>
      <w:bookmarkEnd w:id="0"/>
    </w:p>
    <w:p w14:paraId="0507B979">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14:paraId="49888129">
      <w:pPr>
        <w:pStyle w:val="6"/>
        <w:ind w:firstLine="0"/>
        <w:jc w:val="left"/>
        <w:rPr>
          <w:rFonts w:ascii="仿宋_GB2312" w:hAnsi="仿宋_GB2312" w:eastAsia="仿宋_GB2312" w:cs="仿宋_GB2312"/>
          <w:color w:val="000000"/>
          <w:sz w:val="30"/>
          <w:szCs w:val="30"/>
        </w:rPr>
      </w:pPr>
    </w:p>
    <w:p w14:paraId="73FDBE45">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14:paraId="52E8EBF3">
      <w:pPr>
        <w:pStyle w:val="6"/>
        <w:ind w:firstLine="0"/>
        <w:jc w:val="left"/>
        <w:rPr>
          <w:rFonts w:ascii="仿宋_GB2312" w:hAnsi="仿宋_GB2312" w:eastAsia="仿宋_GB2312" w:cs="仿宋_GB2312"/>
          <w:color w:val="000000"/>
          <w:sz w:val="30"/>
          <w:szCs w:val="30"/>
        </w:rPr>
      </w:pPr>
    </w:p>
    <w:p w14:paraId="0B4321B1">
      <w:pPr>
        <w:pStyle w:val="6"/>
        <w:jc w:val="left"/>
        <w:rPr>
          <w:rFonts w:ascii="仿宋_GB2312" w:hAnsi="仿宋_GB2312" w:eastAsia="仿宋_GB2312" w:cs="仿宋_GB2312"/>
          <w:color w:val="000000"/>
          <w:sz w:val="30"/>
          <w:szCs w:val="30"/>
        </w:rPr>
      </w:pPr>
    </w:p>
    <w:p w14:paraId="1F5E25A4">
      <w:pPr>
        <w:pStyle w:val="6"/>
        <w:jc w:val="left"/>
        <w:rPr>
          <w:rFonts w:ascii="仿宋_GB2312" w:hAnsi="仿宋_GB2312" w:eastAsia="仿宋_GB2312" w:cs="仿宋_GB2312"/>
          <w:color w:val="000000"/>
          <w:sz w:val="30"/>
          <w:szCs w:val="30"/>
        </w:rPr>
      </w:pPr>
    </w:p>
    <w:p w14:paraId="426744E5">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14:paraId="1D38C47E">
      <w:pPr>
        <w:pStyle w:val="6"/>
        <w:ind w:firstLine="0"/>
        <w:jc w:val="left"/>
        <w:rPr>
          <w:rFonts w:ascii="仿宋_GB2312" w:hAnsi="仿宋_GB2312" w:eastAsia="仿宋_GB2312" w:cs="仿宋_GB2312"/>
          <w:color w:val="000000"/>
          <w:sz w:val="30"/>
          <w:szCs w:val="30"/>
        </w:rPr>
      </w:pPr>
    </w:p>
    <w:p w14:paraId="65F221F6">
      <w:pPr>
        <w:pStyle w:val="6"/>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14:paraId="7E21C690">
      <w:pPr>
        <w:pStyle w:val="6"/>
        <w:jc w:val="left"/>
        <w:rPr>
          <w:rFonts w:ascii="仿宋_GB2312" w:hAnsi="仿宋_GB2312" w:eastAsia="仿宋_GB2312" w:cs="仿宋_GB2312"/>
          <w:color w:val="000000"/>
          <w:sz w:val="30"/>
          <w:szCs w:val="30"/>
        </w:rPr>
      </w:pPr>
    </w:p>
    <w:p w14:paraId="5309DF68">
      <w:pPr>
        <w:pStyle w:val="6"/>
        <w:jc w:val="left"/>
        <w:rPr>
          <w:rFonts w:ascii="仿宋_GB2312" w:hAnsi="仿宋_GB2312" w:eastAsia="仿宋_GB2312" w:cs="仿宋_GB2312"/>
          <w:color w:val="000000"/>
          <w:sz w:val="30"/>
          <w:szCs w:val="30"/>
        </w:rPr>
      </w:pPr>
    </w:p>
    <w:p w14:paraId="5FE63F90">
      <w:pPr>
        <w:pStyle w:val="6"/>
        <w:jc w:val="left"/>
        <w:rPr>
          <w:rFonts w:ascii="仿宋_GB2312" w:hAnsi="仿宋_GB2312" w:eastAsia="仿宋_GB2312" w:cs="仿宋_GB2312"/>
          <w:color w:val="000000"/>
          <w:sz w:val="30"/>
          <w:szCs w:val="30"/>
        </w:rPr>
      </w:pPr>
    </w:p>
    <w:p w14:paraId="5C162833">
      <w:pPr>
        <w:pStyle w:val="6"/>
        <w:jc w:val="left"/>
        <w:rPr>
          <w:rFonts w:ascii="仿宋_GB2312" w:hAnsi="仿宋_GB2312" w:eastAsia="仿宋_GB2312" w:cs="仿宋_GB2312"/>
          <w:color w:val="000000"/>
          <w:sz w:val="30"/>
          <w:szCs w:val="30"/>
        </w:rPr>
      </w:pPr>
    </w:p>
    <w:p w14:paraId="70AE65A4">
      <w:pPr>
        <w:pStyle w:val="6"/>
        <w:jc w:val="left"/>
        <w:rPr>
          <w:rFonts w:ascii="仿宋_GB2312" w:hAnsi="仿宋_GB2312" w:eastAsia="仿宋_GB2312" w:cs="仿宋_GB2312"/>
          <w:color w:val="000000"/>
          <w:sz w:val="30"/>
          <w:szCs w:val="30"/>
        </w:rPr>
      </w:pPr>
    </w:p>
    <w:p w14:paraId="36AF397D">
      <w:pPr>
        <w:pStyle w:val="6"/>
        <w:jc w:val="left"/>
        <w:rPr>
          <w:rFonts w:ascii="仿宋_GB2312" w:hAnsi="仿宋_GB2312" w:eastAsia="仿宋_GB2312" w:cs="仿宋_GB2312"/>
          <w:color w:val="000000"/>
          <w:sz w:val="30"/>
          <w:szCs w:val="30"/>
        </w:rPr>
      </w:pPr>
    </w:p>
    <w:p w14:paraId="300EDA70">
      <w:pPr>
        <w:pStyle w:val="6"/>
        <w:jc w:val="left"/>
        <w:rPr>
          <w:rFonts w:ascii="仿宋_GB2312" w:hAnsi="仿宋_GB2312" w:eastAsia="仿宋_GB2312" w:cs="仿宋_GB2312"/>
          <w:color w:val="000000"/>
          <w:sz w:val="30"/>
          <w:szCs w:val="30"/>
        </w:rPr>
      </w:pPr>
    </w:p>
    <w:p w14:paraId="72882978">
      <w:pPr>
        <w:pStyle w:val="6"/>
        <w:jc w:val="left"/>
        <w:rPr>
          <w:rFonts w:ascii="仿宋_GB2312" w:hAnsi="仿宋_GB2312" w:eastAsia="仿宋_GB2312" w:cs="仿宋_GB2312"/>
          <w:color w:val="000000"/>
          <w:sz w:val="30"/>
          <w:szCs w:val="30"/>
        </w:rPr>
      </w:pPr>
    </w:p>
    <w:p w14:paraId="390B917E">
      <w:pPr>
        <w:jc w:val="left"/>
        <w:sectPr>
          <w:pgSz w:w="11906" w:h="16838"/>
          <w:pgMar w:top="1440" w:right="1800" w:bottom="1440" w:left="1800" w:header="851" w:footer="992" w:gutter="0"/>
          <w:cols w:space="425" w:num="1"/>
          <w:docGrid w:type="lines" w:linePitch="312" w:charSpace="0"/>
        </w:sectPr>
      </w:pPr>
    </w:p>
    <w:p w14:paraId="6207068B">
      <w:pPr>
        <w:pStyle w:val="4"/>
        <w:spacing w:line="240" w:lineRule="auto"/>
        <w:rPr>
          <w:rFonts w:ascii="黑体" w:hAnsi="黑体"/>
          <w:color w:val="000000"/>
        </w:rPr>
      </w:pPr>
      <w:bookmarkStart w:id="1" w:name="_Toc24454"/>
      <w:bookmarkStart w:id="2" w:name="_Toc11918"/>
      <w:bookmarkStart w:id="3" w:name="_Toc20910"/>
      <w:bookmarkStart w:id="4" w:name="_Toc32320"/>
      <w:bookmarkStart w:id="5" w:name="_Toc21422"/>
      <w:bookmarkStart w:id="6" w:name="_Toc15737"/>
      <w:bookmarkStart w:id="7" w:name="_Toc21762"/>
      <w:bookmarkStart w:id="8" w:name="_Toc29002"/>
      <w:bookmarkStart w:id="9" w:name="_Toc20033"/>
      <w:bookmarkStart w:id="10" w:name="_Toc25712"/>
      <w:bookmarkStart w:id="11" w:name="_Toc13462"/>
      <w:bookmarkStart w:id="12" w:name="_Toc12789"/>
      <w:bookmarkStart w:id="13" w:name="_Toc24727"/>
      <w:bookmarkStart w:id="14" w:name="_Toc24068"/>
      <w:bookmarkStart w:id="15" w:name="_Toc7615"/>
      <w:bookmarkStart w:id="16" w:name="_Toc8396"/>
      <w:r>
        <w:rPr>
          <w:rFonts w:hint="eastAsia" w:ascii="黑体" w:hAnsi="黑体"/>
          <w:color w:val="000000"/>
        </w:rPr>
        <w:t>网络竞价须知</w:t>
      </w:r>
      <w:bookmarkEnd w:id="1"/>
      <w:bookmarkEnd w:id="2"/>
      <w:bookmarkEnd w:id="3"/>
      <w:bookmarkEnd w:id="4"/>
      <w:bookmarkEnd w:id="5"/>
      <w:bookmarkEnd w:id="6"/>
      <w:bookmarkEnd w:id="7"/>
    </w:p>
    <w:p w14:paraId="5B3AB3E4">
      <w:pPr>
        <w:numPr>
          <w:ilvl w:val="0"/>
          <w:numId w:val="1"/>
        </w:numPr>
        <w:spacing w:line="520" w:lineRule="exact"/>
        <w:rPr>
          <w:rFonts w:ascii="新宋体" w:hAnsi="新宋体" w:eastAsia="新宋体"/>
          <w:sz w:val="28"/>
          <w:szCs w:val="28"/>
        </w:rPr>
      </w:pPr>
      <w:r>
        <w:rPr>
          <w:rFonts w:hint="eastAsia" w:ascii="新宋体" w:hAnsi="新宋体" w:eastAsia="新宋体"/>
          <w:b/>
          <w:bCs/>
          <w:color w:val="C00000"/>
          <w:sz w:val="28"/>
          <w:szCs w:val="28"/>
          <w:u w:val="single"/>
          <w:lang w:val="en-US" w:eastAsia="zh-CN"/>
        </w:rPr>
        <w:t xml:space="preserve">东方市湾溪水库库容水域承包经营权招标 </w:t>
      </w:r>
      <w:r>
        <w:rPr>
          <w:rFonts w:hint="eastAsia" w:ascii="新宋体" w:hAnsi="新宋体" w:eastAsia="新宋体"/>
          <w:b/>
          <w:bCs/>
          <w:sz w:val="28"/>
          <w:szCs w:val="28"/>
        </w:rPr>
        <w:t>项目</w:t>
      </w:r>
      <w:r>
        <w:rPr>
          <w:rFonts w:hint="eastAsia" w:ascii="新宋体" w:hAnsi="新宋体" w:eastAsia="新宋体"/>
          <w:sz w:val="28"/>
          <w:szCs w:val="28"/>
        </w:rPr>
        <w:t>《网络竞价须知》（以下简称《须知》），依据《</w:t>
      </w:r>
      <w:r>
        <w:rPr>
          <w:rFonts w:hint="eastAsia" w:ascii="新宋体" w:hAnsi="新宋体" w:eastAsia="新宋体" w:cs="新宋体"/>
          <w:color w:val="auto"/>
          <w:sz w:val="28"/>
          <w:szCs w:val="28"/>
          <w:highlight w:val="none"/>
        </w:rPr>
        <w:fldChar w:fldCharType="begin"/>
      </w:r>
      <w:r>
        <w:rPr>
          <w:rFonts w:hint="eastAsia" w:ascii="新宋体" w:hAnsi="新宋体" w:eastAsia="新宋体" w:cs="新宋体"/>
          <w:sz w:val="28"/>
          <w:szCs w:val="28"/>
          <w:highlight w:val="none"/>
        </w:rPr>
        <w:instrText xml:space="preserve"> HYPERLINK \l _Toc17598 </w:instrText>
      </w:r>
      <w:r>
        <w:rPr>
          <w:rFonts w:hint="eastAsia" w:ascii="新宋体" w:hAnsi="新宋体" w:eastAsia="新宋体" w:cs="新宋体"/>
          <w:sz w:val="28"/>
          <w:szCs w:val="28"/>
          <w:highlight w:val="none"/>
        </w:rPr>
        <w:fldChar w:fldCharType="separate"/>
      </w:r>
      <w:r>
        <w:rPr>
          <w:rFonts w:hint="eastAsia" w:ascii="新宋体" w:hAnsi="新宋体" w:eastAsia="新宋体" w:cs="新宋体"/>
          <w:kern w:val="0"/>
          <w:sz w:val="28"/>
          <w:szCs w:val="28"/>
          <w:highlight w:val="none"/>
          <w:lang w:val="en-US" w:eastAsia="zh-CN"/>
        </w:rPr>
        <w:t>东方</w:t>
      </w:r>
      <w:r>
        <w:rPr>
          <w:rFonts w:hint="eastAsia" w:ascii="新宋体" w:hAnsi="新宋体" w:eastAsia="新宋体" w:cs="新宋体"/>
          <w:kern w:val="0"/>
          <w:sz w:val="28"/>
          <w:szCs w:val="28"/>
          <w:highlight w:val="none"/>
        </w:rPr>
        <w:t>农村产权交易中心农村产权交易规则（试行）</w:t>
      </w:r>
      <w:r>
        <w:rPr>
          <w:rFonts w:hint="eastAsia" w:ascii="新宋体" w:hAnsi="新宋体" w:eastAsia="新宋体" w:cs="新宋体"/>
          <w:color w:val="auto"/>
          <w:sz w:val="28"/>
          <w:szCs w:val="28"/>
          <w:highlight w:val="none"/>
        </w:rPr>
        <w:fldChar w:fldCharType="end"/>
      </w:r>
      <w:r>
        <w:rPr>
          <w:rFonts w:hint="eastAsia" w:ascii="新宋体" w:hAnsi="新宋体" w:eastAsia="新宋体"/>
          <w:sz w:val="28"/>
          <w:szCs w:val="28"/>
        </w:rPr>
        <w:t>》、《</w:t>
      </w:r>
      <w:r>
        <w:rPr>
          <w:rFonts w:hint="eastAsia" w:ascii="新宋体" w:hAnsi="新宋体" w:eastAsia="新宋体" w:cs="新宋体"/>
          <w:bCs w:val="0"/>
          <w:kern w:val="0"/>
          <w:sz w:val="28"/>
          <w:szCs w:val="28"/>
          <w:highlight w:val="none"/>
          <w:lang w:val="en-US" w:eastAsia="zh-CN"/>
        </w:rPr>
        <w:t>东方</w:t>
      </w:r>
      <w:r>
        <w:rPr>
          <w:rFonts w:hint="eastAsia" w:ascii="新宋体" w:hAnsi="新宋体" w:eastAsia="新宋体" w:cs="新宋体"/>
          <w:bCs w:val="0"/>
          <w:kern w:val="0"/>
          <w:sz w:val="28"/>
          <w:szCs w:val="28"/>
          <w:highlight w:val="none"/>
        </w:rPr>
        <w:t>农村产权交易中心网络竞价实施办法（试行）</w:t>
      </w:r>
      <w:r>
        <w:rPr>
          <w:rFonts w:hint="eastAsia" w:ascii="新宋体" w:hAnsi="新宋体" w:eastAsia="新宋体"/>
          <w:sz w:val="28"/>
          <w:szCs w:val="28"/>
        </w:rPr>
        <w:t>》及有关法律、法规的规定，制定本交易须知。</w:t>
      </w:r>
    </w:p>
    <w:p w14:paraId="01BE4AB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网络竞价的竞买方必须遵守本交易须知、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有关交易规则以及有关法律法规。</w:t>
      </w:r>
    </w:p>
    <w:p w14:paraId="6B5AB62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东方</w:t>
      </w:r>
      <w:r>
        <w:rPr>
          <w:rFonts w:hint="eastAsia" w:ascii="新宋体" w:hAnsi="新宋体" w:eastAsia="新宋体" w:cs="Times New Roman"/>
          <w:b/>
          <w:bCs/>
          <w:sz w:val="28"/>
          <w:szCs w:val="28"/>
        </w:rPr>
        <w:t>农村产权交易</w:t>
      </w:r>
      <w:r>
        <w:rPr>
          <w:rFonts w:hint="eastAsia" w:ascii="新宋体" w:hAnsi="新宋体" w:eastAsia="新宋体" w:cs="Times New Roman"/>
          <w:b/>
          <w:bCs/>
          <w:sz w:val="28"/>
          <w:szCs w:val="28"/>
          <w:lang w:val="en-US" w:eastAsia="zh-CN"/>
        </w:rPr>
        <w:t>中心(</w:t>
      </w:r>
      <w:r>
        <w:rPr>
          <w:rFonts w:hint="eastAsia" w:ascii="新宋体" w:hAnsi="新宋体" w:eastAsia="新宋体" w:cs="Times New Roman"/>
          <w:b/>
          <w:bCs/>
          <w:sz w:val="28"/>
          <w:szCs w:val="28"/>
        </w:rPr>
        <w:t>以下简称“</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dongfang</w:t>
      </w:r>
      <w:r>
        <w:rPr>
          <w:rFonts w:hint="eastAsia" w:ascii="新宋体" w:hAnsi="新宋体" w:eastAsia="新宋体" w:cs="Times New Roman"/>
          <w:b/>
          <w:bCs/>
          <w:sz w:val="28"/>
          <w:szCs w:val="28"/>
        </w:rPr>
        <w:t>.nongjiao.com）为指定的交易</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，竞买方应通过</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参与标的竞拍活动。</w:t>
      </w:r>
    </w:p>
    <w:p w14:paraId="4DAFB73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运营工作人员咨询。</w:t>
      </w:r>
    </w:p>
    <w:p w14:paraId="47DB85A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图片、文字描述、附件材料或按照交易公告指定的时间进行现场踏勘了解标的，对标的现状有异议的，应在提交竞买报名前提出书面意见。对竞价成功后的《标的竞得书》及合同的签署均无异议。</w:t>
      </w:r>
    </w:p>
    <w:p w14:paraId="17580EE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有关交易规则和交易须知。</w:t>
      </w:r>
    </w:p>
    <w:p w14:paraId="2E260CF6">
      <w:pPr>
        <w:numPr>
          <w:ilvl w:val="0"/>
          <w:numId w:val="1"/>
        </w:numPr>
        <w:spacing w:line="520" w:lineRule="exact"/>
        <w:rPr>
          <w:b/>
          <w:bCs/>
        </w:rPr>
      </w:pPr>
      <w:r>
        <w:rPr>
          <w:rFonts w:hint="eastAsia" w:ascii="新宋体" w:hAnsi="新宋体" w:eastAsia="新宋体" w:cs="Times New Roman"/>
          <w:b/>
          <w:bCs/>
          <w:color w:val="C00000"/>
          <w:sz w:val="28"/>
          <w:szCs w:val="28"/>
        </w:rPr>
        <w:t>竞买申请方应当于</w:t>
      </w:r>
      <w:r>
        <w:rPr>
          <w:rFonts w:hint="eastAsia" w:ascii="新宋体" w:hAnsi="新宋体" w:eastAsia="新宋体" w:cs="Times New Roman"/>
          <w:b/>
          <w:bCs/>
          <w:color w:val="C00000"/>
          <w:sz w:val="28"/>
          <w:szCs w:val="28"/>
          <w:u w:val="single"/>
        </w:rPr>
        <w:t>2024-</w:t>
      </w:r>
      <w:r>
        <w:rPr>
          <w:rFonts w:hint="eastAsia" w:ascii="新宋体" w:hAnsi="新宋体" w:eastAsia="新宋体" w:cs="Times New Roman"/>
          <w:b/>
          <w:bCs/>
          <w:color w:val="C00000"/>
          <w:sz w:val="28"/>
          <w:szCs w:val="28"/>
          <w:u w:val="single"/>
          <w:lang w:val="en-US" w:eastAsia="zh-CN"/>
        </w:rPr>
        <w:t>12</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27日</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color w:val="C00000"/>
          <w:sz w:val="28"/>
          <w:szCs w:val="28"/>
        </w:rPr>
        <w:t>前签署并向</w:t>
      </w:r>
      <w:r>
        <w:rPr>
          <w:rFonts w:hint="eastAsia" w:ascii="新宋体" w:hAnsi="新宋体" w:eastAsia="新宋体" w:cs="Times New Roman"/>
          <w:b/>
          <w:bCs/>
          <w:color w:val="C00000"/>
          <w:sz w:val="28"/>
          <w:szCs w:val="28"/>
          <w:lang w:eastAsia="zh-CN"/>
        </w:rPr>
        <w:t>农交中心</w:t>
      </w:r>
      <w:r>
        <w:rPr>
          <w:rFonts w:hint="eastAsia" w:ascii="新宋体" w:hAnsi="新宋体" w:eastAsia="新宋体" w:cs="Times New Roman"/>
          <w:b/>
          <w:bCs/>
          <w:color w:val="C00000"/>
          <w:sz w:val="28"/>
          <w:szCs w:val="28"/>
          <w:lang w:val="en-US" w:eastAsia="zh-CN"/>
        </w:rPr>
        <w:t>网站</w:t>
      </w:r>
      <w:r>
        <w:rPr>
          <w:rFonts w:hint="eastAsia" w:ascii="新宋体" w:hAnsi="新宋体" w:eastAsia="新宋体" w:cs="Times New Roman"/>
          <w:b/>
          <w:bCs/>
          <w:color w:val="C00000"/>
          <w:sz w:val="28"/>
          <w:szCs w:val="28"/>
        </w:rPr>
        <w:t>提交本次网络竞价《网络竞价须知》《网络竞价承诺函》等竞价文件后，</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审核通过后，交纳交易保证金（</w:t>
      </w:r>
      <w:r>
        <w:rPr>
          <w:rFonts w:hint="eastAsia" w:ascii="新宋体" w:hAnsi="新宋体" w:eastAsia="新宋体" w:cs="Times New Roman"/>
          <w:sz w:val="28"/>
          <w:szCs w:val="28"/>
          <w:lang w:val="en-US" w:eastAsia="zh-CN"/>
        </w:rPr>
        <w:t>150000元</w:t>
      </w:r>
      <w:r>
        <w:rPr>
          <w:rFonts w:hint="eastAsia" w:ascii="新宋体" w:hAnsi="新宋体" w:eastAsia="新宋体" w:cs="Times New Roman"/>
          <w:sz w:val="28"/>
          <w:szCs w:val="28"/>
        </w:rPr>
        <w:t>），</w:t>
      </w:r>
      <w:r>
        <w:rPr>
          <w:rFonts w:hint="eastAsia" w:ascii="新宋体" w:hAnsi="新宋体" w:eastAsia="新宋体" w:cs="Times New Roman"/>
          <w:b/>
          <w:bCs/>
          <w:color w:val="C00000"/>
          <w:sz w:val="28"/>
          <w:szCs w:val="28"/>
        </w:rPr>
        <w:t>竞买申请方必须用本人的银行账户（单位用户须用本单位公户）通过网银、手机银行、柜台转账等方式把交易保证金款项存入</w:t>
      </w:r>
      <w:r>
        <w:rPr>
          <w:rFonts w:hint="eastAsia" w:ascii="新宋体" w:hAnsi="新宋体" w:eastAsia="新宋体" w:cs="Times New Roman"/>
          <w:b/>
          <w:bCs/>
          <w:color w:val="C00000"/>
          <w:sz w:val="28"/>
          <w:szCs w:val="28"/>
          <w:lang w:eastAsia="zh-CN"/>
        </w:rPr>
        <w:t>农交中心</w:t>
      </w:r>
      <w:r>
        <w:rPr>
          <w:rFonts w:hint="eastAsia" w:ascii="新宋体" w:hAnsi="新宋体" w:eastAsia="新宋体" w:cs="Times New Roman"/>
          <w:b/>
          <w:bCs/>
          <w:color w:val="C00000"/>
          <w:sz w:val="28"/>
          <w:szCs w:val="28"/>
          <w:lang w:val="en-US" w:eastAsia="zh-CN"/>
        </w:rPr>
        <w:t>网站</w:t>
      </w:r>
      <w:r>
        <w:rPr>
          <w:rFonts w:hint="eastAsia" w:ascii="新宋体" w:hAnsi="新宋体" w:eastAsia="新宋体" w:cs="Times New Roman"/>
          <w:b/>
          <w:bCs/>
          <w:color w:val="C00000"/>
          <w:sz w:val="28"/>
          <w:szCs w:val="28"/>
        </w:rPr>
        <w:t>交易保证金结算账户，方取得竞拍资格。</w:t>
      </w:r>
    </w:p>
    <w:p w14:paraId="17AC7BAB">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3"/>
        <w:tblW w:w="0" w:type="auto"/>
        <w:jc w:val="center"/>
        <w:tblLayout w:type="fixed"/>
        <w:tblCellMar>
          <w:top w:w="0" w:type="dxa"/>
          <w:left w:w="108" w:type="dxa"/>
          <w:bottom w:w="0" w:type="dxa"/>
          <w:right w:w="108" w:type="dxa"/>
        </w:tblCellMar>
      </w:tblPr>
      <w:tblGrid>
        <w:gridCol w:w="1628"/>
        <w:gridCol w:w="5411"/>
      </w:tblGrid>
      <w:tr w14:paraId="1722805F">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C7D9D">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E6CC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东方市农村产权交易中心有限公司</w:t>
            </w:r>
          </w:p>
        </w:tc>
      </w:tr>
      <w:tr w14:paraId="74FD9ABD">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B9C1A">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AD36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海南农商银行东方八所支行</w:t>
            </w:r>
          </w:p>
        </w:tc>
      </w:tr>
      <w:tr w14:paraId="0849B04E">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E44C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1095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1020156100000204</w:t>
            </w:r>
          </w:p>
        </w:tc>
      </w:tr>
    </w:tbl>
    <w:p w14:paraId="62FA12F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账号和提交实名认证材料时，必须按照</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要求提供及时、详尽、准确、真实的单位或个人注册资料，注册后如信息资料有任何变动，必须及时向</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提出更新申请，否则由此引起的经济及法律责任均由竞买方自行承担。</w:t>
      </w:r>
    </w:p>
    <w:p w14:paraId="6B463B7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账号安全负责。任何使用竞买方用户名和密码登录的用户，在系统的一切行为均视为该竞买方本人的行为，由竞买方承担一切后果，</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不承担任何责任。通过公共环境参与网络竞价活动的竞买方应注意账号安全，离开终端时应及时退出</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系统。</w:t>
      </w:r>
    </w:p>
    <w:p w14:paraId="173035B4">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dongfang</w:t>
      </w:r>
      <w:r>
        <w:rPr>
          <w:rFonts w:hint="eastAsia" w:ascii="新宋体" w:hAnsi="新宋体" w:eastAsia="新宋体" w:cs="Times New Roman"/>
          <w:b/>
          <w:bCs/>
          <w:sz w:val="28"/>
          <w:szCs w:val="28"/>
        </w:rPr>
        <w:t>.nongjiao.com</w:t>
      </w:r>
      <w:r>
        <w:rPr>
          <w:rFonts w:hint="eastAsia" w:ascii="新宋体" w:hAnsi="新宋体" w:eastAsia="新宋体" w:cs="Times New Roman"/>
          <w:sz w:val="28"/>
          <w:szCs w:val="28"/>
        </w:rPr>
        <w:t>，即可操作。</w:t>
      </w:r>
    </w:p>
    <w:p w14:paraId="751E5445">
      <w:pPr>
        <w:spacing w:line="520" w:lineRule="exact"/>
        <w:ind w:firstLine="562" w:firstLineChars="200"/>
        <w:jc w:val="left"/>
        <w:rPr>
          <w:rFonts w:hint="default" w:ascii="新宋体" w:hAnsi="新宋体" w:eastAsia="新宋体" w:cs="Times New Roman"/>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u w:val="single"/>
          <w:lang w:val="en-US" w:eastAsia="zh-CN"/>
        </w:rPr>
        <w:t xml:space="preserve">  522500 </w:t>
      </w:r>
      <w:r>
        <w:rPr>
          <w:rFonts w:hint="eastAsia" w:ascii="新宋体" w:hAnsi="新宋体" w:eastAsia="新宋体" w:cs="Times New Roman"/>
          <w:b/>
          <w:bCs/>
          <w:sz w:val="28"/>
          <w:szCs w:val="28"/>
          <w:lang w:val="en-US" w:eastAsia="zh-CN"/>
        </w:rPr>
        <w:t>元（总价）</w:t>
      </w:r>
    </w:p>
    <w:p w14:paraId="760DF9A5">
      <w:pPr>
        <w:pStyle w:val="2"/>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自由竞价）。3、竞买方接受出租（转让）方确定的交易条件，通过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的网络竞价系统进行动态递增（减）报价，将报价最高者确定为承租（受让）方的竞价方式（反向竞价以报价最低者确定为承租（受让）方）。</w:t>
      </w:r>
    </w:p>
    <w:p w14:paraId="78BF1BB1">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sz w:val="28"/>
          <w:szCs w:val="28"/>
          <w:u w:val="single"/>
        </w:rPr>
        <w:t>100</w:t>
      </w:r>
      <w:r>
        <w:rPr>
          <w:rFonts w:hint="eastAsia" w:ascii="新宋体" w:hAnsi="新宋体" w:eastAsia="新宋体" w:cs="Times New Roman"/>
          <w:sz w:val="28"/>
          <w:szCs w:val="28"/>
        </w:rPr>
        <w:t>元的整数倍（至少100元）。</w:t>
      </w:r>
    </w:p>
    <w:p w14:paraId="66DBDF05">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211FE4F5">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rPr>
        <w:t>2024-</w:t>
      </w:r>
      <w:r>
        <w:rPr>
          <w:rFonts w:hint="eastAsia" w:ascii="新宋体" w:hAnsi="新宋体" w:eastAsia="新宋体" w:cs="Times New Roman"/>
          <w:b/>
          <w:bCs/>
          <w:color w:val="C00000"/>
          <w:sz w:val="28"/>
          <w:szCs w:val="28"/>
          <w:u w:val="single"/>
          <w:lang w:val="en-US" w:eastAsia="zh-CN"/>
        </w:rPr>
        <w:t>12-30日</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3F27133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26A90C6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记录即视为有效报价，竞买方不可变更或撤销。</w:t>
      </w:r>
    </w:p>
    <w:p w14:paraId="38DFF6C3">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24C40EE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，密切观察交易动态，以确定信息公告的标的是否转为网络竞价状态，并参与竞拍。竞买方不得以不知道交易公告的标的转为网络竞价为由提出任何异议。</w:t>
      </w:r>
    </w:p>
    <w:p w14:paraId="701EB30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694B52B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2E1F8711">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w:t>
      </w:r>
    </w:p>
    <w:p w14:paraId="22F263A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发布的竞价活动相关信息的；</w:t>
      </w:r>
    </w:p>
    <w:p w14:paraId="5409309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2001EDD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07FDF97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2E528B5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39647FD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2CFF83DA">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当即与出租（转让）方协商后续方案，并将结果及时通知各竞买方，</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运营单位有权中止（冻结）或重新竞拍标的物竞价活动，待问题解决后依程序再行恢复竞价活动，同时</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不承担任何责任。主要行为包括但不限于以下：</w:t>
      </w:r>
    </w:p>
    <w:p w14:paraId="6130F4F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5AE085A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5D48CE9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48349E8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43FCABE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服务器、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运营单位办公区域出现不可抗力因素导致无法正常实施网络交易活动；</w:t>
      </w:r>
    </w:p>
    <w:p w14:paraId="789D256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5BFDADA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运营单位或委托人核实的其他原因；</w:t>
      </w:r>
    </w:p>
    <w:p w14:paraId="68EF673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认为需要中止网络竞价活动的其他情形。</w:t>
      </w:r>
    </w:p>
    <w:p w14:paraId="4F86B16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应当解除冻结，恢复交易。在信息公告阶段中止（冻结）交易的，解除冻结后，信息公告期限应顺延，顺延时间不少于冻结交易的时间；在网络竞价阶段中止（冻结）或重新竞拍交易的，解除冻结后，系统开始新一轮的竞价。</w:t>
      </w:r>
    </w:p>
    <w:p w14:paraId="59D261E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将按照出租（转让）方要求的时间和方式继续竞价或重新竞价，</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通知各竞买方。</w:t>
      </w:r>
    </w:p>
    <w:p w14:paraId="0FB834E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网站服务异常、竞价活动异常的，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可以根据相关约定重新组织实施竞价或再次发布转让信息公告。</w:t>
      </w:r>
    </w:p>
    <w:p w14:paraId="63C0E13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运营单位应当终止</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交易活动，待问题解决后依程序重新实施竞拍活动：</w:t>
      </w:r>
    </w:p>
    <w:p w14:paraId="26AC06F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45387B5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12EB01AB">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4484FFC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62AC880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或委托方核实的其他情形。</w:t>
      </w:r>
    </w:p>
    <w:p w14:paraId="305646B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运营单位应当在</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发布相关信息。竞买方可以通过邮件、电话联系等方式或者直接向运营单位咨询，以获得标的中止（冻结）交易和解除冻结的相关信息。</w:t>
      </w:r>
    </w:p>
    <w:p w14:paraId="2CA4078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有权中止、取消其竞得资格，并将其列入</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黑名单；造成</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及相关方损失的，由竞买方依法承担赔偿损失等法律责任。</w:t>
      </w:r>
    </w:p>
    <w:p w14:paraId="15002FD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注册登记的要求提供有关文件材料、提供虚假文件或隐瞒事实的；</w:t>
      </w:r>
    </w:p>
    <w:p w14:paraId="40DE5A32">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78A7481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058FC213">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2ECEAF2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造成损失的；</w:t>
      </w:r>
    </w:p>
    <w:p w14:paraId="414A6D3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559C1AF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35634298">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3CB4458F">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出具的《标的竞得书》为准。</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在竞价结束的2个工作日内向竞得方出具《标的竞得书》。（注：对于农垦资产出租（转让）只有一个竞买方参与竞拍的，需先由委托单位根据有关规定报海垦集团批准后，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才能出具《标的竞得书》），竞得人凭《标的竞得书》与委托单位在3个工作日内（或按公告要求的时限）签订交易合同，</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对合同内容按规定进行形式审核，审核通过后解冻竞得人的交易保证金。竞得人需要在交易合同签订的5个工作日内按规定标准缴纳交易服务费。</w:t>
      </w:r>
    </w:p>
    <w:p w14:paraId="39B19C7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23、服务费收费标准：</w:t>
      </w:r>
    </w:p>
    <w:p w14:paraId="2C6B7C19">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73"/>
        <w:gridCol w:w="3726"/>
      </w:tblGrid>
      <w:tr w14:paraId="5649432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4473" w:type="dxa"/>
            <w:shd w:val="clear" w:color="auto" w:fill="FFFFFF"/>
            <w:vAlign w:val="center"/>
          </w:tcPr>
          <w:p w14:paraId="3185C6F0">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26" w:type="dxa"/>
            <w:shd w:val="clear" w:color="auto" w:fill="FFFFFF"/>
            <w:vAlign w:val="center"/>
          </w:tcPr>
          <w:p w14:paraId="3EBF119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611A53A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4473" w:type="dxa"/>
            <w:shd w:val="clear" w:color="auto" w:fill="FFFFFF"/>
            <w:vAlign w:val="center"/>
          </w:tcPr>
          <w:p w14:paraId="382FCE1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26" w:type="dxa"/>
            <w:shd w:val="clear" w:color="auto" w:fill="FFFFFF"/>
            <w:vAlign w:val="center"/>
          </w:tcPr>
          <w:p w14:paraId="0E3C978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5D91B0F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4473" w:type="dxa"/>
            <w:shd w:val="clear" w:color="auto" w:fill="FFFFFF"/>
            <w:vAlign w:val="center"/>
          </w:tcPr>
          <w:p w14:paraId="1823B32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26" w:type="dxa"/>
            <w:shd w:val="clear" w:color="auto" w:fill="FFFFFF"/>
            <w:vAlign w:val="center"/>
          </w:tcPr>
          <w:p w14:paraId="55F582F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0FDE9B3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4473" w:type="dxa"/>
            <w:shd w:val="clear" w:color="auto" w:fill="FFFFFF"/>
            <w:vAlign w:val="center"/>
          </w:tcPr>
          <w:p w14:paraId="5CD4D8C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26" w:type="dxa"/>
            <w:shd w:val="clear" w:color="auto" w:fill="FFFFFF"/>
            <w:vAlign w:val="center"/>
          </w:tcPr>
          <w:p w14:paraId="404FB15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70908F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4473" w:type="dxa"/>
            <w:shd w:val="clear" w:color="auto" w:fill="FFFFFF"/>
            <w:vAlign w:val="center"/>
          </w:tcPr>
          <w:p w14:paraId="1A45C7E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26" w:type="dxa"/>
            <w:shd w:val="clear" w:color="auto" w:fill="FFFFFF"/>
            <w:vAlign w:val="center"/>
          </w:tcPr>
          <w:p w14:paraId="59933A1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78698C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76" w:hRule="atLeast"/>
        </w:trPr>
        <w:tc>
          <w:tcPr>
            <w:tcW w:w="4473" w:type="dxa"/>
            <w:shd w:val="clear" w:color="auto" w:fill="FFFFFF"/>
            <w:vAlign w:val="center"/>
          </w:tcPr>
          <w:p w14:paraId="308C930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26" w:type="dxa"/>
            <w:shd w:val="clear" w:color="auto" w:fill="FFFFFF"/>
            <w:vAlign w:val="center"/>
          </w:tcPr>
          <w:p w14:paraId="36914D3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7FD07F9E">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69D51C8F">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1、每笔交易最低收费300元；</w:t>
      </w:r>
    </w:p>
    <w:p w14:paraId="3A7711D5">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58EAFD35">
      <w:pPr>
        <w:pStyle w:val="12"/>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w:t>
      </w:r>
      <w:r>
        <w:rPr>
          <w:rFonts w:hint="eastAsia" w:ascii="微软雅黑" w:hAnsi="微软雅黑" w:eastAsia="微软雅黑" w:cs="微软雅黑"/>
          <w:b/>
          <w:bCs/>
          <w:color w:val="C00000"/>
          <w:kern w:val="2"/>
          <w:sz w:val="27"/>
          <w:szCs w:val="27"/>
          <w:shd w:val="clear" w:color="auto" w:fill="FFFFFF"/>
          <w:lang w:eastAsia="zh-CN"/>
        </w:rPr>
        <w:t>（</w:t>
      </w:r>
      <w:r>
        <w:rPr>
          <w:rFonts w:hint="eastAsia" w:ascii="微软雅黑" w:hAnsi="微软雅黑" w:eastAsia="微软雅黑" w:cs="微软雅黑"/>
          <w:b/>
          <w:bCs/>
          <w:color w:val="C00000"/>
          <w:kern w:val="2"/>
          <w:sz w:val="27"/>
          <w:szCs w:val="27"/>
          <w:shd w:val="clear" w:color="auto" w:fill="FFFFFF"/>
          <w:lang w:val="en-US" w:eastAsia="zh-CN"/>
        </w:rPr>
        <w:t>含两人）</w:t>
      </w:r>
      <w:r>
        <w:rPr>
          <w:rFonts w:hint="eastAsia" w:ascii="微软雅黑" w:hAnsi="微软雅黑" w:eastAsia="微软雅黑" w:cs="微软雅黑"/>
          <w:b/>
          <w:bCs/>
          <w:color w:val="C00000"/>
          <w:kern w:val="2"/>
          <w:sz w:val="27"/>
          <w:szCs w:val="27"/>
          <w:shd w:val="clear" w:color="auto" w:fill="FFFFFF"/>
        </w:rPr>
        <w:t>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99"/>
        <w:gridCol w:w="4460"/>
      </w:tblGrid>
      <w:tr w14:paraId="327CD01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3799" w:type="dxa"/>
            <w:shd w:val="clear" w:color="auto" w:fill="FFFFFF"/>
            <w:vAlign w:val="center"/>
          </w:tcPr>
          <w:p w14:paraId="55F2C8A8">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460" w:type="dxa"/>
            <w:shd w:val="clear" w:color="auto" w:fill="FFFFFF"/>
            <w:vAlign w:val="center"/>
          </w:tcPr>
          <w:p w14:paraId="4F7A95E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6DACB71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3799" w:type="dxa"/>
            <w:shd w:val="clear" w:color="auto" w:fill="FFFFFF"/>
            <w:vAlign w:val="center"/>
          </w:tcPr>
          <w:p w14:paraId="1C1F9CD7">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460" w:type="dxa"/>
            <w:shd w:val="clear" w:color="auto" w:fill="FFFFFF"/>
            <w:vAlign w:val="center"/>
          </w:tcPr>
          <w:p w14:paraId="7FA8B4A6">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01018CE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3799" w:type="dxa"/>
            <w:shd w:val="clear" w:color="auto" w:fill="FFFFFF"/>
            <w:vAlign w:val="center"/>
          </w:tcPr>
          <w:p w14:paraId="35D347D2">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460" w:type="dxa"/>
            <w:shd w:val="clear" w:color="auto" w:fill="FFFFFF"/>
            <w:vAlign w:val="center"/>
          </w:tcPr>
          <w:p w14:paraId="09B1C49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4C7E7D6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3799" w:type="dxa"/>
            <w:shd w:val="clear" w:color="auto" w:fill="FFFFFF"/>
            <w:vAlign w:val="center"/>
          </w:tcPr>
          <w:p w14:paraId="43C5C7B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460" w:type="dxa"/>
            <w:shd w:val="clear" w:color="auto" w:fill="FFFFFF"/>
            <w:vAlign w:val="center"/>
          </w:tcPr>
          <w:p w14:paraId="5DD8AC19">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30EFDD5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3799" w:type="dxa"/>
            <w:shd w:val="clear" w:color="auto" w:fill="FFFFFF"/>
            <w:vAlign w:val="center"/>
          </w:tcPr>
          <w:p w14:paraId="5FC07DA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460" w:type="dxa"/>
            <w:shd w:val="clear" w:color="auto" w:fill="FFFFFF"/>
            <w:vAlign w:val="center"/>
          </w:tcPr>
          <w:p w14:paraId="0D68453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6877D9E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76" w:hRule="atLeast"/>
        </w:trPr>
        <w:tc>
          <w:tcPr>
            <w:tcW w:w="3799" w:type="dxa"/>
            <w:shd w:val="clear" w:color="auto" w:fill="FFFFFF"/>
            <w:vAlign w:val="center"/>
          </w:tcPr>
          <w:p w14:paraId="30521DB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460" w:type="dxa"/>
            <w:shd w:val="clear" w:color="auto" w:fill="FFFFFF"/>
            <w:vAlign w:val="center"/>
          </w:tcPr>
          <w:p w14:paraId="6BC01E9E">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524D6D66">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587D4540">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1、每笔交易最低收费500元；</w:t>
      </w:r>
    </w:p>
    <w:p w14:paraId="292FD0CF">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280E0A0C">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3"/>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0734CA64">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67489F8">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800EACA">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东方市农村产权交易中心有限公司</w:t>
            </w:r>
          </w:p>
        </w:tc>
      </w:tr>
      <w:tr w14:paraId="05238557">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21A5AC0">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6B43F34">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海南农商银行东方支行</w:t>
            </w:r>
          </w:p>
        </w:tc>
      </w:tr>
      <w:tr w14:paraId="5EF0FCC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285F2257">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272B155">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1020156100000158</w:t>
            </w:r>
          </w:p>
        </w:tc>
      </w:tr>
    </w:tbl>
    <w:p w14:paraId="0D1E659A">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将按《东方农村产权交易中心交易保证金操作规则（试行）》有关规定办理。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3D99A49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有权扣除交易保证金作为相关方的补偿。</w:t>
      </w:r>
    </w:p>
    <w:p w14:paraId="102DC5F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4087C1B7">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5C6B7A62">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所有，</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有权根据相关法律、法规进行变更和修订。</w:t>
      </w:r>
    </w:p>
    <w:p w14:paraId="0F038479">
      <w:pPr>
        <w:bidi w:val="0"/>
      </w:pPr>
    </w:p>
    <w:p w14:paraId="7C6A48B4">
      <w:pPr>
        <w:spacing w:line="520" w:lineRule="exact"/>
      </w:pPr>
      <w:r>
        <w:rPr>
          <w:rFonts w:hint="eastAsia" w:ascii="Times New Roman" w:hAnsi="Times New Roman"/>
          <w:sz w:val="32"/>
          <w:szCs w:val="32"/>
        </w:rPr>
        <w:t>已详细阅读此竞价须知，对此竞价须知无异议。</w:t>
      </w:r>
    </w:p>
    <w:p w14:paraId="23240C30">
      <w:pPr>
        <w:spacing w:line="520" w:lineRule="exact"/>
        <w:ind w:firstLine="3200" w:firstLineChars="1000"/>
        <w:rPr>
          <w:rFonts w:hint="eastAsia" w:ascii="Times New Roman" w:hAnsi="Times New Roman"/>
          <w:sz w:val="32"/>
          <w:szCs w:val="32"/>
        </w:rPr>
      </w:pPr>
    </w:p>
    <w:p w14:paraId="3904B635">
      <w:pPr>
        <w:spacing w:line="520" w:lineRule="exact"/>
        <w:ind w:firstLine="3200" w:firstLineChars="1000"/>
        <w:rPr>
          <w:rFonts w:hint="eastAsia" w:ascii="Times New Roman" w:hAnsi="Times New Roman"/>
          <w:sz w:val="32"/>
          <w:szCs w:val="32"/>
        </w:rPr>
      </w:pPr>
      <w:r>
        <w:rPr>
          <w:rFonts w:hint="eastAsia" w:ascii="Times New Roman" w:hAnsi="Times New Roman"/>
          <w:sz w:val="32"/>
          <w:szCs w:val="32"/>
        </w:rPr>
        <w:t>签字（盖章）确认：</w:t>
      </w:r>
    </w:p>
    <w:p w14:paraId="23B6C5FB">
      <w:pPr>
        <w:spacing w:line="520" w:lineRule="exact"/>
        <w:ind w:firstLine="3200" w:firstLineChars="1000"/>
        <w:rPr>
          <w:rFonts w:ascii="黑体" w:hAnsi="黑体"/>
          <w:color w:val="000000"/>
        </w:rPr>
      </w:pPr>
      <w:r>
        <w:rPr>
          <w:rFonts w:hint="eastAsia" w:ascii="Times New Roman" w:hAnsi="Times New Roman" w:eastAsiaTheme="minorEastAsia" w:cstheme="minorBidi"/>
          <w:b w:val="0"/>
          <w:kern w:val="2"/>
          <w:sz w:val="32"/>
          <w:szCs w:val="32"/>
          <w:lang w:val="en-US" w:eastAsia="zh-CN" w:bidi="ar-SA"/>
        </w:rPr>
        <w:t>日期：     年     月   日</w:t>
      </w:r>
    </w:p>
    <w:p w14:paraId="4E7B5055">
      <w:pPr>
        <w:pStyle w:val="4"/>
        <w:spacing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14:paraId="15AB0BC9">
      <w:pPr>
        <w:pStyle w:val="4"/>
        <w:spacing w:line="240" w:lineRule="auto"/>
        <w:jc w:val="center"/>
        <w:rPr>
          <w:rStyle w:val="15"/>
          <w:rFonts w:ascii="Times New Roman" w:hAnsi="Times New Roman"/>
          <w:szCs w:val="22"/>
        </w:rPr>
      </w:pPr>
      <w:r>
        <w:rPr>
          <w:rFonts w:hint="eastAsia" w:ascii="黑体" w:hAnsi="黑体"/>
          <w:color w:val="000000"/>
        </w:rPr>
        <w:t>网络竞价项目承诺函</w:t>
      </w:r>
      <w:bookmarkEnd w:id="8"/>
      <w:bookmarkEnd w:id="9"/>
      <w:bookmarkEnd w:id="10"/>
      <w:bookmarkEnd w:id="11"/>
      <w:bookmarkEnd w:id="12"/>
      <w:bookmarkEnd w:id="13"/>
      <w:bookmarkEnd w:id="14"/>
      <w:bookmarkEnd w:id="15"/>
      <w:bookmarkEnd w:id="16"/>
    </w:p>
    <w:p w14:paraId="136A5DD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lang w:val="en-US" w:eastAsia="zh-CN"/>
        </w:rPr>
        <w:t>东方农村产权交易中心</w:t>
      </w:r>
      <w:r>
        <w:rPr>
          <w:rFonts w:hint="eastAsia" w:ascii="Times New Roman" w:hAnsi="Times New Roman"/>
          <w:sz w:val="28"/>
          <w:szCs w:val="28"/>
        </w:rPr>
        <w:t>：</w:t>
      </w:r>
    </w:p>
    <w:p w14:paraId="39B30193">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新宋体" w:hAnsi="新宋体" w:eastAsia="新宋体"/>
          <w:b/>
          <w:bCs/>
          <w:color w:val="C00000"/>
          <w:sz w:val="28"/>
          <w:szCs w:val="28"/>
          <w:u w:val="single"/>
          <w:lang w:eastAsia="zh-CN"/>
        </w:rPr>
        <w:t>东方市湾溪水库库容水域承包经营权招标</w:t>
      </w:r>
      <w:r>
        <w:rPr>
          <w:rFonts w:ascii="Times New Roman" w:hAnsi="Times New Roman"/>
          <w:sz w:val="28"/>
          <w:szCs w:val="28"/>
        </w:rPr>
        <w:t>”</w:t>
      </w:r>
      <w:r>
        <w:rPr>
          <w:rFonts w:hint="eastAsia" w:ascii="Times New Roman" w:hAnsi="Times New Roman"/>
          <w:sz w:val="28"/>
          <w:szCs w:val="28"/>
        </w:rPr>
        <w:t>项目网络竞价活动作出如下承诺：</w:t>
      </w:r>
    </w:p>
    <w:p w14:paraId="0218319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新宋体" w:hAnsi="新宋体" w:eastAsia="新宋体"/>
          <w:b/>
          <w:bCs/>
          <w:color w:val="C00000"/>
          <w:sz w:val="28"/>
          <w:szCs w:val="28"/>
          <w:u w:val="single"/>
          <w:lang w:eastAsia="zh-CN"/>
        </w:rPr>
        <w:t>东方市湾溪水库库容水域承包经营权招标</w:t>
      </w:r>
      <w:r>
        <w:rPr>
          <w:rFonts w:ascii="Times New Roman" w:hAnsi="Times New Roman"/>
          <w:sz w:val="28"/>
          <w:szCs w:val="28"/>
        </w:rPr>
        <w:t>”</w:t>
      </w:r>
      <w:r>
        <w:rPr>
          <w:rFonts w:hint="eastAsia" w:ascii="Times New Roman" w:hAnsi="Times New Roman"/>
          <w:sz w:val="28"/>
          <w:szCs w:val="28"/>
        </w:rPr>
        <w:t>项目网络竞价活动，并参与报价。</w:t>
      </w:r>
    </w:p>
    <w:p w14:paraId="559CE81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新宋体" w:hAnsi="新宋体" w:eastAsia="新宋体"/>
          <w:b/>
          <w:bCs/>
          <w:color w:val="C00000"/>
          <w:sz w:val="28"/>
          <w:szCs w:val="28"/>
          <w:u w:val="single"/>
          <w:lang w:eastAsia="zh-CN"/>
        </w:rPr>
        <w:t>东方市湾溪水库库容水域承包经营权招标</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东方</w:t>
      </w:r>
      <w:r>
        <w:rPr>
          <w:rFonts w:hint="eastAsia" w:ascii="新宋体" w:hAnsi="新宋体" w:eastAsia="新宋体"/>
          <w:sz w:val="28"/>
          <w:szCs w:val="28"/>
        </w:rPr>
        <w:t>农村产权交易中心网络竞价实施办法（试行）》《</w:t>
      </w:r>
      <w:r>
        <w:rPr>
          <w:rFonts w:hint="eastAsia" w:ascii="Times New Roman" w:hAnsi="Times New Roman"/>
          <w:sz w:val="28"/>
          <w:szCs w:val="28"/>
        </w:rPr>
        <w:t>网络竞价须知》已充分了解，并自愿遵守文件中的相关规定。</w:t>
      </w:r>
    </w:p>
    <w:p w14:paraId="0436475B">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Times New Roman" w:hAnsi="Times New Roman"/>
          <w:sz w:val="28"/>
          <w:szCs w:val="28"/>
          <w:lang w:val="en-US" w:eastAsia="zh-CN"/>
        </w:rPr>
        <w:t>东方</w:t>
      </w:r>
      <w:r>
        <w:rPr>
          <w:rFonts w:hint="eastAsia" w:ascii="新宋体" w:hAnsi="新宋体" w:eastAsia="新宋体" w:cs="Times New Roman"/>
          <w:sz w:val="28"/>
          <w:szCs w:val="28"/>
        </w:rPr>
        <w:t>农村产权交易</w:t>
      </w:r>
      <w:r>
        <w:rPr>
          <w:rFonts w:hint="eastAsia" w:ascii="新宋体" w:hAnsi="新宋体" w:eastAsia="新宋体" w:cs="Times New Roman"/>
          <w:sz w:val="28"/>
          <w:szCs w:val="28"/>
          <w:lang w:val="en-US" w:eastAsia="zh-CN"/>
        </w:rPr>
        <w:t>中心（以下简称“农交中心”）网站</w:t>
      </w:r>
      <w:r>
        <w:rPr>
          <w:rFonts w:hint="eastAsia" w:ascii="新宋体" w:hAnsi="新宋体" w:eastAsia="新宋体" w:cs="Times New Roman"/>
          <w:sz w:val="28"/>
          <w:szCs w:val="28"/>
        </w:rPr>
        <w:t>（http://</w:t>
      </w:r>
      <w:r>
        <w:rPr>
          <w:rFonts w:hint="eastAsia" w:ascii="新宋体" w:hAnsi="新宋体" w:eastAsia="新宋体" w:cs="Times New Roman"/>
          <w:sz w:val="28"/>
          <w:szCs w:val="28"/>
          <w:lang w:val="en-US" w:eastAsia="zh-CN"/>
        </w:rPr>
        <w:t>dongfang</w:t>
      </w:r>
      <w:r>
        <w:rPr>
          <w:rFonts w:hint="eastAsia" w:ascii="新宋体" w:hAnsi="新宋体" w:eastAsia="新宋体" w:cs="Times New Roman"/>
          <w:sz w:val="28"/>
          <w:szCs w:val="28"/>
        </w:rPr>
        <w:t>.nongjiao.com）</w:t>
      </w:r>
      <w:r>
        <w:rPr>
          <w:rFonts w:hint="eastAsia" w:ascii="Times New Roman" w:hAnsi="Times New Roman"/>
          <w:sz w:val="28"/>
          <w:szCs w:val="28"/>
        </w:rPr>
        <w:t>无关。</w:t>
      </w:r>
    </w:p>
    <w:p w14:paraId="70360A3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四、本竞买方同意出租（转让）方和</w:t>
      </w:r>
      <w:r>
        <w:rPr>
          <w:rFonts w:hint="eastAsia" w:ascii="Times New Roman" w:hAnsi="Times New Roman"/>
          <w:sz w:val="28"/>
          <w:szCs w:val="28"/>
          <w:lang w:eastAsia="zh-CN"/>
        </w:rPr>
        <w:t>农交中心</w:t>
      </w:r>
      <w:r>
        <w:rPr>
          <w:rFonts w:hint="eastAsia" w:ascii="Times New Roman" w:hAnsi="Times New Roman"/>
          <w:sz w:val="28"/>
          <w:szCs w:val="28"/>
        </w:rPr>
        <w:t>有权根据《网络竞价须知》的规定扣除保证金。</w:t>
      </w:r>
    </w:p>
    <w:p w14:paraId="5E04F818">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东方</w:t>
      </w:r>
      <w:r>
        <w:rPr>
          <w:rFonts w:hint="eastAsia" w:ascii="Times New Roman" w:hAnsi="Times New Roman"/>
          <w:sz w:val="28"/>
          <w:szCs w:val="28"/>
        </w:rPr>
        <w:t>农村产权交易服务</w:t>
      </w:r>
      <w:r>
        <w:rPr>
          <w:rFonts w:hint="eastAsia" w:ascii="Times New Roman" w:hAnsi="Times New Roman"/>
          <w:sz w:val="28"/>
          <w:szCs w:val="28"/>
          <w:lang w:eastAsia="zh-CN"/>
        </w:rPr>
        <w:t>农交中心</w:t>
      </w:r>
      <w:r>
        <w:rPr>
          <w:rFonts w:hint="eastAsia" w:ascii="Times New Roman" w:hAnsi="Times New Roman"/>
          <w:sz w:val="28"/>
          <w:szCs w:val="28"/>
        </w:rPr>
        <w:t>书面通知要求与出租（转让）方签署交易合同，并按《产权交易结算通知书》的约定支付交易价款。</w:t>
      </w:r>
    </w:p>
    <w:p w14:paraId="0939825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4B06870B">
      <w:pPr>
        <w:pStyle w:val="11"/>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0E86AE10">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5CC8ABA7">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03726C50">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1101DE09">
      <w:pPr>
        <w:pStyle w:val="4"/>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143FA425">
      <w:pPr>
        <w:rPr>
          <w:rFonts w:ascii="仿宋_GB2312" w:hAnsi="仿宋_GB2312" w:eastAsia="仿宋_GB2312" w:cs="仿宋_GB2312"/>
          <w:color w:val="000000"/>
          <w:sz w:val="36"/>
          <w:szCs w:val="30"/>
        </w:rPr>
      </w:pPr>
    </w:p>
    <w:p w14:paraId="2AF0C109">
      <w:pPr>
        <w:rPr>
          <w:rFonts w:ascii="仿宋_GB2312" w:hAnsi="仿宋_GB2312" w:eastAsia="仿宋_GB2312" w:cs="仿宋_GB2312"/>
          <w:color w:val="000000"/>
          <w:sz w:val="30"/>
          <w:szCs w:val="30"/>
        </w:rPr>
      </w:pPr>
    </w:p>
    <w:p w14:paraId="6A6D56B0">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75E211D9">
      <w:pPr>
        <w:rPr>
          <w:rFonts w:ascii="仿宋_GB2312" w:hAnsi="仿宋_GB2312" w:eastAsia="仿宋_GB2312" w:cs="仿宋_GB2312"/>
          <w:b/>
          <w:color w:val="000000"/>
          <w:sz w:val="30"/>
          <w:szCs w:val="30"/>
        </w:rPr>
      </w:pPr>
    </w:p>
    <w:p w14:paraId="2D7C18BD">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25E25A2E">
      <w:pPr>
        <w:rPr>
          <w:rFonts w:ascii="仿宋_GB2312" w:hAnsi="仿宋_GB2312" w:eastAsia="仿宋_GB2312" w:cs="仿宋_GB2312"/>
          <w:b/>
          <w:color w:val="000000"/>
          <w:sz w:val="30"/>
          <w:szCs w:val="30"/>
          <w:u w:val="single"/>
        </w:rPr>
      </w:pPr>
    </w:p>
    <w:p w14:paraId="4620B27C">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《东方农村产权交易中心农村产权交易规则（试行）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《东方农村产权交易中心农村产权交易规则（试行）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09DEA7E6">
      <w:pPr>
        <w:rPr>
          <w:rFonts w:ascii="仿宋_GB2312" w:hAnsi="仿宋_GB2312" w:eastAsia="仿宋_GB2312" w:cs="仿宋_GB2312"/>
          <w:color w:val="000000"/>
          <w:sz w:val="30"/>
          <w:szCs w:val="30"/>
        </w:rPr>
      </w:pPr>
    </w:p>
    <w:p w14:paraId="398E9067">
      <w:pPr>
        <w:rPr>
          <w:rFonts w:ascii="仿宋_GB2312" w:hAnsi="仿宋_GB2312" w:eastAsia="仿宋_GB2312" w:cs="仿宋_GB2312"/>
          <w:color w:val="000000"/>
          <w:sz w:val="30"/>
          <w:szCs w:val="30"/>
        </w:rPr>
      </w:pPr>
    </w:p>
    <w:p w14:paraId="0DD07853">
      <w:pPr>
        <w:rPr>
          <w:rFonts w:ascii="仿宋_GB2312" w:hAnsi="仿宋_GB2312" w:eastAsia="仿宋_GB2312" w:cs="仿宋_GB2312"/>
          <w:color w:val="000000"/>
          <w:sz w:val="30"/>
          <w:szCs w:val="30"/>
        </w:rPr>
      </w:pPr>
    </w:p>
    <w:p w14:paraId="77DADB64">
      <w:pPr>
        <w:rPr>
          <w:rFonts w:ascii="仿宋_GB2312" w:hAnsi="仿宋_GB2312" w:eastAsia="仿宋_GB2312" w:cs="仿宋_GB2312"/>
          <w:color w:val="000000"/>
          <w:sz w:val="30"/>
          <w:szCs w:val="30"/>
        </w:rPr>
      </w:pPr>
    </w:p>
    <w:p w14:paraId="20301932">
      <w:pPr>
        <w:rPr>
          <w:rFonts w:ascii="仿宋_GB2312" w:hAnsi="仿宋_GB2312" w:eastAsia="仿宋_GB2312" w:cs="仿宋_GB2312"/>
          <w:color w:val="000000"/>
          <w:sz w:val="30"/>
          <w:szCs w:val="30"/>
        </w:rPr>
      </w:pPr>
    </w:p>
    <w:p w14:paraId="2F34FFFC">
      <w:pPr>
        <w:rPr>
          <w:rFonts w:ascii="仿宋_GB2312" w:hAnsi="仿宋_GB2312" w:eastAsia="仿宋_GB2312" w:cs="仿宋_GB2312"/>
          <w:color w:val="000000"/>
          <w:sz w:val="30"/>
          <w:szCs w:val="30"/>
        </w:rPr>
      </w:pPr>
    </w:p>
    <w:p w14:paraId="46FEDADA">
      <w:pPr>
        <w:rPr>
          <w:rFonts w:ascii="仿宋_GB2312" w:hAnsi="仿宋_GB2312" w:eastAsia="仿宋_GB2312" w:cs="仿宋_GB2312"/>
          <w:color w:val="000000"/>
          <w:sz w:val="30"/>
          <w:szCs w:val="30"/>
        </w:rPr>
      </w:pPr>
    </w:p>
    <w:p w14:paraId="03B6AF17">
      <w:pPr>
        <w:pStyle w:val="6"/>
      </w:pPr>
    </w:p>
    <w:p w14:paraId="2FD7DFFA">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东方农村产权交易中心</w:t>
      </w:r>
      <w:r>
        <w:rPr>
          <w:rFonts w:hint="eastAsia" w:ascii="仿宋_GB2312" w:hAnsi="仿宋_GB2312" w:eastAsia="仿宋_GB2312" w:cs="仿宋_GB2312"/>
          <w:b/>
          <w:color w:val="000000"/>
          <w:sz w:val="36"/>
          <w:szCs w:val="30"/>
        </w:rPr>
        <w:t>制</w:t>
      </w:r>
    </w:p>
    <w:p w14:paraId="474623D0">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2024年</w:t>
      </w:r>
      <w:r>
        <w:rPr>
          <w:rFonts w:hint="eastAsia" w:ascii="仿宋_GB2312" w:hAnsi="仿宋_GB2312" w:eastAsia="仿宋_GB2312" w:cs="仿宋_GB2312"/>
          <w:b/>
          <w:color w:val="000000"/>
          <w:sz w:val="36"/>
          <w:szCs w:val="30"/>
          <w:lang w:val="en-US" w:eastAsia="zh-CN"/>
        </w:rPr>
        <w:t xml:space="preserve"> 12 </w:t>
      </w:r>
      <w:r>
        <w:rPr>
          <w:rFonts w:hint="eastAsia" w:ascii="仿宋_GB2312" w:hAnsi="仿宋_GB2312" w:eastAsia="仿宋_GB2312" w:cs="仿宋_GB2312"/>
          <w:b/>
          <w:color w:val="000000"/>
          <w:sz w:val="36"/>
          <w:szCs w:val="30"/>
        </w:rPr>
        <w:t>月</w:t>
      </w:r>
    </w:p>
    <w:p w14:paraId="44047019">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6134F090">
      <w:pPr>
        <w:pStyle w:val="4"/>
        <w:spacing w:line="400" w:lineRule="exact"/>
        <w:rPr>
          <w:rFonts w:ascii="仿宋" w:hAnsi="仿宋"/>
          <w:bCs/>
          <w:szCs w:val="36"/>
        </w:rPr>
      </w:pPr>
      <w:r>
        <w:rPr>
          <w:rFonts w:hint="eastAsia"/>
          <w:bCs/>
          <w:szCs w:val="36"/>
        </w:rPr>
        <w:t>意向承租（受让）函</w:t>
      </w:r>
    </w:p>
    <w:p w14:paraId="0BBF9B4D">
      <w:pPr>
        <w:rPr>
          <w:rFonts w:ascii="Times New Roman" w:hAnsi="Times New Roman" w:eastAsia="黑体"/>
          <w:bCs/>
          <w:sz w:val="24"/>
        </w:rPr>
      </w:pPr>
      <w:r>
        <w:rPr>
          <w:rFonts w:hint="eastAsia" w:ascii="Times New Roman" w:hAnsi="Times New Roman" w:eastAsia="黑体"/>
          <w:sz w:val="24"/>
          <w:lang w:val="en-US" w:eastAsia="zh-CN"/>
        </w:rPr>
        <w:t>东方农村产权交易中心</w:t>
      </w:r>
      <w:r>
        <w:rPr>
          <w:rFonts w:hint="eastAsia" w:ascii="Times New Roman" w:hAnsi="Times New Roman" w:eastAsia="黑体"/>
          <w:sz w:val="24"/>
        </w:rPr>
        <w:t>：</w:t>
      </w:r>
    </w:p>
    <w:p w14:paraId="7BB5CB8B">
      <w:pPr>
        <w:spacing w:line="440" w:lineRule="exact"/>
        <w:ind w:firstLine="480" w:firstLineChars="200"/>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val="en-US" w:eastAsia="zh-CN"/>
        </w:rPr>
        <w:t>东方</w:t>
      </w:r>
      <w:r>
        <w:rPr>
          <w:rFonts w:hint="eastAsia" w:ascii="Times New Roman" w:hAnsi="Times New Roman"/>
          <w:bCs/>
          <w:sz w:val="24"/>
        </w:rPr>
        <w:t>农村产权交易</w:t>
      </w:r>
      <w:r>
        <w:rPr>
          <w:rFonts w:hint="eastAsia" w:ascii="Times New Roman" w:hAnsi="Times New Roman"/>
          <w:bCs/>
          <w:sz w:val="24"/>
          <w:lang w:val="en-US" w:eastAsia="zh-CN"/>
        </w:rPr>
        <w:t>中心（以下简称“农交中心”）网站</w:t>
      </w:r>
      <w:r>
        <w:rPr>
          <w:rFonts w:hint="eastAsia" w:ascii="Times New Roman" w:hAnsi="Times New Roman"/>
          <w:bCs/>
          <w:sz w:val="24"/>
        </w:rPr>
        <w:t>（http://</w:t>
      </w:r>
      <w:r>
        <w:rPr>
          <w:rFonts w:hint="eastAsia" w:ascii="Times New Roman" w:hAnsi="Times New Roman"/>
          <w:bCs/>
          <w:sz w:val="24"/>
          <w:lang w:val="en-US" w:eastAsia="zh-CN"/>
        </w:rPr>
        <w:t>dongfang</w:t>
      </w:r>
      <w:r>
        <w:rPr>
          <w:rFonts w:hint="eastAsia" w:ascii="Times New Roman" w:hAnsi="Times New Roman"/>
          <w:bCs/>
          <w:sz w:val="24"/>
        </w:rPr>
        <w:t>.nongjiao.com）申请承租（受让）</w:t>
      </w:r>
      <w:r>
        <w:rPr>
          <w:rFonts w:hint="eastAsia" w:ascii="新宋体" w:hAnsi="新宋体" w:eastAsia="新宋体"/>
          <w:b/>
          <w:bCs/>
          <w:color w:val="C00000"/>
          <w:sz w:val="28"/>
          <w:szCs w:val="28"/>
          <w:u w:val="single"/>
          <w:lang w:eastAsia="zh-CN"/>
        </w:rPr>
        <w:t>东方市湾溪水库库容水域承包经营权招标</w:t>
      </w:r>
      <w:r>
        <w:rPr>
          <w:rFonts w:hint="eastAsia" w:ascii="Times New Roman" w:hAnsi="Times New Roman"/>
          <w:bCs/>
          <w:sz w:val="24"/>
        </w:rPr>
        <w:t>，并承诺：</w:t>
      </w:r>
    </w:p>
    <w:p w14:paraId="3F2F2E1A">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63BA4DDC">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15F676ED">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0D1B1586">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w:t>
      </w:r>
      <w:r>
        <w:rPr>
          <w:rFonts w:hint="eastAsia" w:ascii="Times New Roman" w:hAnsi="Times New Roman"/>
          <w:b/>
          <w:sz w:val="24"/>
          <w:lang w:eastAsia="zh-CN"/>
        </w:rPr>
        <w:t>农交中心</w:t>
      </w:r>
      <w:r>
        <w:rPr>
          <w:rFonts w:hint="eastAsia" w:ascii="Times New Roman" w:hAnsi="Times New Roman"/>
          <w:b/>
          <w:sz w:val="24"/>
        </w:rPr>
        <w:t>的交易规则，并充分理解和认可，同意按照贵</w:t>
      </w:r>
      <w:r>
        <w:rPr>
          <w:rFonts w:hint="eastAsia" w:ascii="Times New Roman" w:hAnsi="Times New Roman"/>
          <w:b/>
          <w:sz w:val="24"/>
          <w:lang w:eastAsia="zh-CN"/>
        </w:rPr>
        <w:t>农交中心</w:t>
      </w:r>
      <w:r>
        <w:rPr>
          <w:rFonts w:hint="eastAsia" w:ascii="Times New Roman" w:hAnsi="Times New Roman"/>
          <w:b/>
          <w:sz w:val="24"/>
        </w:rPr>
        <w:t>《东方农村产权交易中心农村产权交易规则（试行）》等相关规定实施农村产权流转活动；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0C70F4EC">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w:t>
      </w:r>
      <w:r>
        <w:rPr>
          <w:rFonts w:hint="eastAsia" w:ascii="Times New Roman" w:hAnsi="Times New Roman"/>
          <w:b/>
          <w:sz w:val="24"/>
          <w:lang w:eastAsia="zh-CN"/>
        </w:rPr>
        <w:t>农交中心</w:t>
      </w:r>
      <w:r>
        <w:rPr>
          <w:rFonts w:hint="eastAsia" w:ascii="Times New Roman" w:hAnsi="Times New Roman"/>
          <w:b/>
          <w:sz w:val="24"/>
        </w:rPr>
        <w:t>的收费项目及标准，同意按规定交纳相关费用。</w:t>
      </w:r>
    </w:p>
    <w:p w14:paraId="11E66956">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3A43A4FB">
      <w:pPr>
        <w:spacing w:line="440" w:lineRule="exact"/>
        <w:ind w:firstLine="482" w:firstLineChars="200"/>
        <w:rPr>
          <w:rFonts w:ascii="Times New Roman" w:hAnsi="Times New Roman"/>
          <w:b/>
          <w:sz w:val="24"/>
        </w:rPr>
      </w:pPr>
      <w:bookmarkStart w:id="17" w:name="_Toc13357"/>
      <w:bookmarkStart w:id="18" w:name="_Toc11532"/>
      <w:bookmarkStart w:id="19" w:name="_Toc28981"/>
      <w:r>
        <w:rPr>
          <w:rFonts w:ascii="Times New Roman" w:hAnsi="Times New Roman"/>
          <w:b/>
          <w:sz w:val="24"/>
        </w:rPr>
        <w:t>7</w:t>
      </w:r>
      <w:r>
        <w:rPr>
          <w:rFonts w:hint="eastAsia" w:ascii="Times New Roman" w:hAnsi="Times New Roman"/>
          <w:b/>
          <w:sz w:val="24"/>
        </w:rPr>
        <w:t>、我方承诺不通过其他渠道进行本项目交易。</w:t>
      </w:r>
      <w:bookmarkEnd w:id="17"/>
      <w:bookmarkEnd w:id="18"/>
      <w:bookmarkEnd w:id="19"/>
    </w:p>
    <w:p w14:paraId="512E53AC">
      <w:pPr>
        <w:pStyle w:val="6"/>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0618ACB0">
      <w:pPr>
        <w:spacing w:line="440" w:lineRule="exact"/>
        <w:ind w:firstLine="482" w:firstLineChars="200"/>
        <w:rPr>
          <w:rFonts w:ascii="Times New Roman" w:hAnsi="Times New Roman"/>
          <w:b/>
          <w:sz w:val="24"/>
        </w:rPr>
      </w:pPr>
      <w:r>
        <w:rPr>
          <w:rFonts w:hint="eastAsia" w:ascii="Times New Roman" w:hAnsi="Times New Roman"/>
          <w:b/>
          <w:sz w:val="24"/>
        </w:rPr>
        <w:t>9、我方承诺按</w:t>
      </w:r>
      <w:r>
        <w:rPr>
          <w:rFonts w:hint="eastAsia" w:ascii="Times New Roman" w:hAnsi="Times New Roman"/>
          <w:b/>
          <w:sz w:val="24"/>
          <w:lang w:eastAsia="zh-CN"/>
        </w:rPr>
        <w:t>农交中心</w:t>
      </w:r>
      <w:r>
        <w:rPr>
          <w:rFonts w:hint="eastAsia" w:ascii="Times New Roman" w:hAnsi="Times New Roman"/>
          <w:b/>
          <w:sz w:val="24"/>
        </w:rPr>
        <w:t>规定交纳交易保证金，若我方无故放弃本项目或因我方自身原因放弃本项目的，视为违约，我方交纳的交易保证金将不予退还，作为违约金扣除。</w:t>
      </w:r>
    </w:p>
    <w:p w14:paraId="3496328C">
      <w:pPr>
        <w:pStyle w:val="6"/>
        <w:spacing w:line="440" w:lineRule="exact"/>
        <w:rPr>
          <w:rFonts w:ascii="Times New Roman" w:hAnsi="Times New Roman"/>
          <w:bCs/>
          <w:sz w:val="28"/>
          <w:szCs w:val="24"/>
        </w:rPr>
      </w:pPr>
      <w:bookmarkStart w:id="20" w:name="_Toc7009"/>
      <w:bookmarkStart w:id="21" w:name="_Toc31003"/>
      <w:bookmarkStart w:id="22" w:name="_Toc24611"/>
      <w:r>
        <w:rPr>
          <w:rFonts w:hint="eastAsia" w:ascii="Times New Roman" w:hAnsi="Times New Roman"/>
          <w:b/>
          <w:sz w:val="24"/>
          <w:szCs w:val="24"/>
        </w:rPr>
        <w:t>10、最终解释权归</w:t>
      </w:r>
      <w:r>
        <w:rPr>
          <w:rFonts w:hint="eastAsia" w:ascii="Times New Roman" w:hAnsi="Times New Roman"/>
          <w:b/>
          <w:sz w:val="24"/>
          <w:szCs w:val="24"/>
          <w:lang w:val="en-US" w:eastAsia="zh-CN"/>
        </w:rPr>
        <w:t>东方农村产权交易中心</w:t>
      </w:r>
      <w:r>
        <w:rPr>
          <w:rFonts w:hint="eastAsia" w:ascii="Times New Roman" w:hAnsi="Times New Roman"/>
          <w:b/>
          <w:sz w:val="24"/>
          <w:szCs w:val="24"/>
        </w:rPr>
        <w:t>。</w:t>
      </w:r>
      <w:bookmarkEnd w:id="20"/>
      <w:bookmarkEnd w:id="21"/>
      <w:bookmarkEnd w:id="22"/>
    </w:p>
    <w:p w14:paraId="7080055C">
      <w:pPr>
        <w:spacing w:line="312" w:lineRule="auto"/>
        <w:ind w:firstLine="3840" w:firstLineChars="1600"/>
        <w:rPr>
          <w:rFonts w:ascii="宋体" w:hAnsi="宋体" w:eastAsia="宋体" w:cs="宋体"/>
          <w:sz w:val="24"/>
        </w:rPr>
      </w:pPr>
    </w:p>
    <w:p w14:paraId="4CD2AC17">
      <w:pPr>
        <w:spacing w:line="296" w:lineRule="auto"/>
        <w:ind w:firstLine="3840" w:firstLineChars="1600"/>
        <w:rPr>
          <w:rFonts w:ascii="宋体" w:hAnsi="宋体" w:eastAsia="宋体" w:cs="宋体"/>
          <w:sz w:val="24"/>
          <w:u w:val="single"/>
        </w:rPr>
      </w:pPr>
      <w:bookmarkStart w:id="23" w:name="_Toc29057"/>
      <w:bookmarkStart w:id="24" w:name="_Toc30986"/>
      <w:bookmarkStart w:id="25" w:name="_Toc4535"/>
      <w:r>
        <w:rPr>
          <w:rFonts w:hint="eastAsia" w:ascii="宋体" w:hAnsi="宋体" w:eastAsia="宋体" w:cs="宋体"/>
          <w:sz w:val="24"/>
        </w:rPr>
        <w:t>申 请 单 位（盖章）：</w:t>
      </w:r>
      <w:bookmarkEnd w:id="23"/>
      <w:bookmarkEnd w:id="24"/>
      <w:bookmarkEnd w:id="25"/>
      <w:r>
        <w:rPr>
          <w:rFonts w:hint="eastAsia" w:ascii="宋体" w:hAnsi="宋体" w:eastAsia="宋体" w:cs="宋体"/>
          <w:sz w:val="24"/>
          <w:u w:val="single"/>
        </w:rPr>
        <w:t xml:space="preserve">                                                    </w:t>
      </w:r>
    </w:p>
    <w:p w14:paraId="60100DA8">
      <w:pPr>
        <w:spacing w:line="296" w:lineRule="auto"/>
        <w:ind w:firstLine="3840" w:firstLineChars="1600"/>
        <w:outlineLvl w:val="1"/>
        <w:rPr>
          <w:rFonts w:ascii="宋体" w:hAnsi="宋体" w:eastAsia="宋体" w:cs="宋体"/>
          <w:sz w:val="24"/>
          <w:u w:val="single"/>
        </w:rPr>
      </w:pPr>
      <w:bookmarkStart w:id="26" w:name="_Toc17490"/>
      <w:bookmarkStart w:id="27" w:name="_Toc9059"/>
      <w:r>
        <w:rPr>
          <w:rFonts w:hint="eastAsia" w:ascii="宋体" w:hAnsi="宋体" w:eastAsia="宋体" w:cs="宋体"/>
          <w:sz w:val="24"/>
        </w:rPr>
        <w:t>法定代表人（签字）：</w:t>
      </w:r>
      <w:bookmarkEnd w:id="26"/>
      <w:bookmarkEnd w:id="27"/>
      <w:r>
        <w:rPr>
          <w:rFonts w:hint="eastAsia" w:ascii="宋体" w:hAnsi="宋体" w:eastAsia="宋体" w:cs="宋体"/>
          <w:sz w:val="24"/>
          <w:u w:val="single"/>
        </w:rPr>
        <w:t xml:space="preserve">                          </w:t>
      </w:r>
    </w:p>
    <w:p w14:paraId="43F8999E">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69D232EF">
      <w:pPr>
        <w:pStyle w:val="4"/>
        <w:spacing w:line="240" w:lineRule="auto"/>
        <w:rPr>
          <w:rFonts w:ascii="黑体" w:hAnsi="黑体"/>
          <w:color w:val="000000"/>
        </w:rPr>
      </w:pPr>
      <w:bookmarkStart w:id="28" w:name="_Toc13094"/>
      <w:bookmarkStart w:id="29" w:name="_Toc32101"/>
      <w:bookmarkStart w:id="30" w:name="_Toc12264"/>
      <w:bookmarkStart w:id="31" w:name="_Toc4580"/>
      <w:bookmarkStart w:id="32" w:name="_Toc29841"/>
      <w:bookmarkStart w:id="33" w:name="_Toc14469"/>
      <w:bookmarkStart w:id="34" w:name="_Toc11237"/>
      <w:r>
        <w:rPr>
          <w:rFonts w:hint="eastAsia" w:ascii="黑体" w:hAnsi="黑体"/>
          <w:color w:val="000000"/>
        </w:rPr>
        <w:t>意向承租（受让）方登记表</w:t>
      </w:r>
      <w:bookmarkEnd w:id="28"/>
      <w:bookmarkEnd w:id="29"/>
      <w:bookmarkEnd w:id="30"/>
      <w:bookmarkEnd w:id="31"/>
      <w:bookmarkEnd w:id="32"/>
      <w:bookmarkEnd w:id="33"/>
      <w:bookmarkEnd w:id="34"/>
    </w:p>
    <w:tbl>
      <w:tblPr>
        <w:tblStyle w:val="13"/>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6DF8C71C">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7A3E1DD5">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07048BE1">
            <w:pPr>
              <w:pStyle w:val="2"/>
            </w:pPr>
          </w:p>
        </w:tc>
      </w:tr>
      <w:tr w14:paraId="4D54BC20">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7DBB405D">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39A0A0CC">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656A72F5">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D0E1B62">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5A35C141">
            <w:pPr>
              <w:spacing w:line="360" w:lineRule="auto"/>
              <w:rPr>
                <w:rFonts w:ascii="宋体" w:hAnsi="宋体" w:eastAsia="宋体"/>
                <w:sz w:val="22"/>
              </w:rPr>
            </w:pPr>
          </w:p>
        </w:tc>
      </w:tr>
      <w:tr w14:paraId="67472BEE">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7637FD0E">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9A0B3B">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0A18064D">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3ECBD8D9">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15F9188B">
            <w:pPr>
              <w:spacing w:line="360" w:lineRule="auto"/>
              <w:rPr>
                <w:rFonts w:ascii="宋体" w:hAnsi="宋体" w:eastAsia="宋体"/>
                <w:sz w:val="22"/>
              </w:rPr>
            </w:pPr>
          </w:p>
        </w:tc>
      </w:tr>
      <w:tr w14:paraId="20FA6FA0">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1FADB757">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137976F">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3674A22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D933825">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6CF54BE">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1510D97">
            <w:pPr>
              <w:spacing w:line="360" w:lineRule="auto"/>
              <w:rPr>
                <w:rFonts w:ascii="宋体" w:hAnsi="宋体" w:eastAsia="宋体"/>
                <w:sz w:val="22"/>
              </w:rPr>
            </w:pPr>
          </w:p>
        </w:tc>
      </w:tr>
      <w:tr w14:paraId="4B90D77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92DDE53">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4386EF4">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D8E50B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D4A0E6">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116092A">
            <w:pPr>
              <w:spacing w:line="360" w:lineRule="auto"/>
              <w:rPr>
                <w:rFonts w:ascii="宋体" w:hAnsi="宋体" w:eastAsia="宋体"/>
                <w:sz w:val="22"/>
              </w:rPr>
            </w:pPr>
          </w:p>
        </w:tc>
      </w:tr>
      <w:tr w14:paraId="39DCB04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07D0FC">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CF5DBB">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BA785E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F5E84F">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779CD93E">
            <w:pPr>
              <w:spacing w:line="360" w:lineRule="auto"/>
              <w:rPr>
                <w:rFonts w:ascii="宋体" w:hAnsi="宋体" w:eastAsia="宋体"/>
                <w:sz w:val="22"/>
              </w:rPr>
            </w:pPr>
          </w:p>
        </w:tc>
      </w:tr>
      <w:tr w14:paraId="52570A70">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A04A1E1">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3AD3E9">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0879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19DE1C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4C65E674">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62AD3123">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66BA434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00727C47">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C7F550">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7D281E2">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17A837DD">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6C1652E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7F7C12B8">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4C2B7819">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0944F3D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1379F03">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7F960E">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4B9DD51D">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16F95C76">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F9BBA94">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379E1F6">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0B61C6F">
            <w:pPr>
              <w:spacing w:line="360" w:lineRule="auto"/>
              <w:jc w:val="center"/>
              <w:rPr>
                <w:rFonts w:ascii="宋体" w:hAnsi="宋体" w:eastAsia="宋体"/>
                <w:sz w:val="22"/>
              </w:rPr>
            </w:pPr>
          </w:p>
        </w:tc>
      </w:tr>
      <w:tr w14:paraId="656FBA2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5DA0547">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587FEC9">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5943272F">
            <w:pPr>
              <w:spacing w:line="360" w:lineRule="auto"/>
              <w:rPr>
                <w:rFonts w:ascii="宋体" w:hAnsi="宋体" w:eastAsia="宋体"/>
                <w:sz w:val="22"/>
              </w:rPr>
            </w:pPr>
          </w:p>
        </w:tc>
      </w:tr>
      <w:tr w14:paraId="4831BFF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A7CE3F">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14ED2172">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44F0F4D5">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E0678F4">
            <w:pPr>
              <w:spacing w:line="360" w:lineRule="auto"/>
              <w:ind w:left="48"/>
              <w:rPr>
                <w:rFonts w:ascii="宋体" w:hAnsi="宋体" w:eastAsia="宋体"/>
                <w:sz w:val="22"/>
              </w:rPr>
            </w:pPr>
            <w:r>
              <w:rPr>
                <w:rFonts w:hint="eastAsia" w:ascii="宋体" w:hAnsi="宋体" w:eastAsia="宋体"/>
                <w:sz w:val="22"/>
              </w:rPr>
              <w:t>报表时间：</w:t>
            </w:r>
          </w:p>
        </w:tc>
      </w:tr>
      <w:tr w14:paraId="003C12EC">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2CA6548">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75989498">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2207DC0D">
            <w:pPr>
              <w:pStyle w:val="17"/>
              <w:spacing w:line="360" w:lineRule="auto"/>
              <w:jc w:val="center"/>
              <w:rPr>
                <w:rFonts w:ascii="宋体" w:hAnsi="宋体" w:eastAsia="宋体"/>
                <w:sz w:val="22"/>
                <w:szCs w:val="24"/>
              </w:rPr>
            </w:pPr>
            <w:r>
              <w:rPr>
                <w:rFonts w:hint="eastAsia" w:ascii="宋体" w:hAnsi="宋体" w:eastAsia="宋体"/>
                <w:sz w:val="22"/>
                <w:szCs w:val="24"/>
              </w:rPr>
              <w:t>总资产</w:t>
            </w:r>
          </w:p>
          <w:p w14:paraId="044D1F71">
            <w:pPr>
              <w:pStyle w:val="17"/>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324EE7EF">
            <w:pPr>
              <w:pStyle w:val="17"/>
              <w:spacing w:line="360" w:lineRule="auto"/>
              <w:jc w:val="center"/>
            </w:pPr>
          </w:p>
          <w:p w14:paraId="08D95BE2"/>
        </w:tc>
        <w:tc>
          <w:tcPr>
            <w:tcW w:w="795" w:type="dxa"/>
            <w:gridSpan w:val="3"/>
            <w:tcBorders>
              <w:top w:val="single" w:color="auto" w:sz="4" w:space="0"/>
              <w:left w:val="single" w:color="auto" w:sz="4" w:space="0"/>
              <w:bottom w:val="single" w:color="auto" w:sz="4" w:space="0"/>
              <w:right w:val="single" w:color="auto" w:sz="4" w:space="0"/>
            </w:tcBorders>
            <w:vAlign w:val="center"/>
          </w:tcPr>
          <w:p w14:paraId="2910E7E9">
            <w:pPr>
              <w:pStyle w:val="17"/>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13ADE4FC">
            <w:pPr>
              <w:pStyle w:val="17"/>
              <w:spacing w:line="360" w:lineRule="auto"/>
              <w:jc w:val="center"/>
            </w:pPr>
          </w:p>
          <w:p w14:paraId="24F4363F">
            <w:pPr>
              <w:pStyle w:val="8"/>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6B18A720">
            <w:pPr>
              <w:pStyle w:val="17"/>
              <w:spacing w:line="360" w:lineRule="auto"/>
              <w:jc w:val="center"/>
              <w:rPr>
                <w:rFonts w:ascii="宋体" w:hAnsi="宋体" w:eastAsia="宋体"/>
                <w:sz w:val="22"/>
                <w:szCs w:val="24"/>
              </w:rPr>
            </w:pPr>
            <w:r>
              <w:rPr>
                <w:rFonts w:hint="eastAsia" w:ascii="宋体" w:hAnsi="宋体" w:eastAsia="宋体"/>
                <w:sz w:val="22"/>
                <w:szCs w:val="24"/>
              </w:rPr>
              <w:t>净资产</w:t>
            </w:r>
          </w:p>
          <w:p w14:paraId="30373F94">
            <w:pPr>
              <w:pStyle w:val="17"/>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6FC91F4C">
            <w:pPr>
              <w:pStyle w:val="17"/>
              <w:spacing w:line="360" w:lineRule="auto"/>
              <w:jc w:val="center"/>
              <w:rPr>
                <w:rFonts w:ascii="宋体" w:hAnsi="宋体" w:eastAsia="宋体"/>
                <w:sz w:val="22"/>
                <w:szCs w:val="24"/>
              </w:rPr>
            </w:pPr>
          </w:p>
        </w:tc>
      </w:tr>
      <w:tr w14:paraId="008006F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389649">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377BF3F">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368E732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EB12C39">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93A69D1">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05FA9211">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CF25D95">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7319D756">
            <w:pPr>
              <w:spacing w:line="360" w:lineRule="auto"/>
              <w:jc w:val="center"/>
              <w:rPr>
                <w:rFonts w:hint="default" w:ascii="宋体" w:hAnsi="宋体" w:eastAsia="宋体"/>
                <w:sz w:val="22"/>
                <w:lang w:val="en-US" w:eastAsia="zh-CN"/>
              </w:rPr>
            </w:pPr>
          </w:p>
        </w:tc>
      </w:tr>
      <w:tr w14:paraId="2392A4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E89DEE3">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B1C1EF5">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6A7FAD1">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71C3D1D">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084F14BC">
            <w:pPr>
              <w:spacing w:line="360" w:lineRule="auto"/>
              <w:jc w:val="center"/>
              <w:rPr>
                <w:rFonts w:hint="default" w:ascii="宋体" w:hAnsi="宋体" w:eastAsia="宋体"/>
                <w:sz w:val="22"/>
                <w:lang w:val="en-US" w:eastAsia="zh-CN"/>
              </w:rPr>
            </w:pPr>
          </w:p>
        </w:tc>
      </w:tr>
      <w:tr w14:paraId="6F69AF6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80C55F8">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61A185DC">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05DC2A81">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34514DF9">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4C40551F">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44800D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095F23B6">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2D139EDA">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5D285296">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7E30F8F">
            <w:pPr>
              <w:spacing w:line="360" w:lineRule="auto"/>
              <w:rPr>
                <w:rFonts w:hint="eastAsia" w:ascii="宋体" w:hAnsi="宋体" w:eastAsia="宋体"/>
                <w:sz w:val="22"/>
                <w:lang w:val="en-US" w:eastAsia="zh-CN"/>
              </w:rPr>
            </w:pPr>
          </w:p>
        </w:tc>
      </w:tr>
      <w:tr w14:paraId="029344FE">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691A4721">
            <w:pPr>
              <w:spacing w:line="360" w:lineRule="auto"/>
              <w:jc w:val="center"/>
              <w:rPr>
                <w:rFonts w:ascii="宋体" w:hAnsi="宋体" w:eastAsia="宋体"/>
                <w:bCs/>
                <w:sz w:val="22"/>
              </w:rPr>
            </w:pPr>
            <w:r>
              <w:rPr>
                <w:rFonts w:hint="eastAsia" w:ascii="宋体" w:hAnsi="宋体" w:eastAsia="宋体"/>
                <w:bCs/>
                <w:sz w:val="22"/>
              </w:rPr>
              <w:t>附件</w:t>
            </w:r>
          </w:p>
          <w:p w14:paraId="724CAE90">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639100D9">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D29C9F2">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4C626C9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8C8DDEE">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1C07923C">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E3D5C1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7F796FD7">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79D04F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6F3CA66">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D91A71E">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CCDE93C">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6AE2E0D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070F3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1355839">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267F8A3">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74DC9517">
            <w:pPr>
              <w:spacing w:line="360" w:lineRule="auto"/>
              <w:jc w:val="left"/>
              <w:rPr>
                <w:rFonts w:ascii="宋体" w:hAnsi="宋体" w:eastAsia="宋体"/>
                <w:sz w:val="22"/>
              </w:rPr>
            </w:pPr>
          </w:p>
        </w:tc>
      </w:tr>
      <w:tr w14:paraId="101DDEFA">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1A2679D0">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345E321B">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F09C1A">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03F0A9B8">
            <w:pPr>
              <w:spacing w:line="360" w:lineRule="auto"/>
              <w:jc w:val="left"/>
              <w:rPr>
                <w:rFonts w:ascii="宋体" w:hAnsi="宋体" w:eastAsia="宋体"/>
                <w:sz w:val="22"/>
              </w:rPr>
            </w:pPr>
          </w:p>
        </w:tc>
      </w:tr>
      <w:tr w14:paraId="59D19879">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39498E1">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36D42497">
            <w:pPr>
              <w:spacing w:line="360" w:lineRule="auto"/>
              <w:jc w:val="center"/>
              <w:rPr>
                <w:rFonts w:ascii="宋体" w:hAnsi="宋体" w:eastAsia="宋体"/>
                <w:bCs/>
                <w:sz w:val="22"/>
              </w:rPr>
            </w:pPr>
            <w:r>
              <w:rPr>
                <w:rFonts w:hint="eastAsia" w:ascii="宋体" w:hAnsi="宋体" w:eastAsia="宋体"/>
                <w:bCs/>
                <w:sz w:val="22"/>
              </w:rPr>
              <w:t>法人单位</w:t>
            </w:r>
          </w:p>
          <w:p w14:paraId="6D855367">
            <w:pPr>
              <w:spacing w:line="360" w:lineRule="auto"/>
              <w:jc w:val="center"/>
              <w:rPr>
                <w:rFonts w:ascii="宋体" w:hAnsi="宋体" w:eastAsia="宋体"/>
                <w:bCs/>
                <w:sz w:val="22"/>
              </w:rPr>
            </w:pPr>
            <w:r>
              <w:rPr>
                <w:rFonts w:hint="eastAsia" w:ascii="宋体" w:hAnsi="宋体" w:eastAsia="宋体"/>
                <w:bCs/>
                <w:sz w:val="22"/>
              </w:rPr>
              <w:t>（如农业企业，</w:t>
            </w:r>
          </w:p>
          <w:p w14:paraId="63EA6963">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7D6060">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营业执照副本复印件（盖章，注明与原件一致）</w:t>
            </w:r>
          </w:p>
        </w:tc>
      </w:tr>
      <w:tr w14:paraId="6322EF9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EFF1EBC">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27190DE4">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2D745DA">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20E11F8F">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F9F9C9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86D3B83">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C0F048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p>
        </w:tc>
      </w:tr>
      <w:tr w14:paraId="5257F75B">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E59ABB6">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642849F">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A003A1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48042F2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45992C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123C612">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FC3537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13B2817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8E51BD0">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76794B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7BEA632">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3B7677E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681E42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B68B26A">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AB9FE1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2372146">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4818D26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35F84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A9AF4F8">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80887A4">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7A7841DA">
            <w:pPr>
              <w:spacing w:line="360" w:lineRule="auto"/>
              <w:jc w:val="left"/>
              <w:rPr>
                <w:rFonts w:ascii="宋体" w:hAnsi="宋体" w:eastAsia="宋体"/>
                <w:sz w:val="22"/>
              </w:rPr>
            </w:pPr>
          </w:p>
        </w:tc>
      </w:tr>
      <w:tr w14:paraId="7F3C2B3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BA540F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1B3A77E">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EE4B700">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7A931569">
            <w:pPr>
              <w:spacing w:line="360" w:lineRule="auto"/>
              <w:jc w:val="left"/>
              <w:rPr>
                <w:rFonts w:ascii="宋体" w:hAnsi="宋体" w:eastAsia="宋体"/>
                <w:sz w:val="22"/>
              </w:rPr>
            </w:pPr>
          </w:p>
        </w:tc>
      </w:tr>
      <w:tr w14:paraId="20C0AB98">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4734338D">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06151DF8">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4468C26">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719E34">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3AF040F">
            <w:pPr>
              <w:spacing w:line="360" w:lineRule="auto"/>
              <w:rPr>
                <w:rFonts w:ascii="宋体" w:hAnsi="宋体" w:eastAsia="宋体"/>
                <w:sz w:val="22"/>
              </w:rPr>
            </w:pPr>
          </w:p>
        </w:tc>
      </w:tr>
      <w:tr w14:paraId="4ED78EAD">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5985E7D1">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F10467A">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40654CE6">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8685F83">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64F02D3">
            <w:pPr>
              <w:spacing w:line="360" w:lineRule="auto"/>
              <w:jc w:val="center"/>
              <w:rPr>
                <w:rFonts w:hint="default" w:ascii="宋体" w:hAnsi="宋体" w:eastAsia="宋体"/>
                <w:sz w:val="22"/>
                <w:lang w:val="en-US" w:eastAsia="zh-CN"/>
              </w:rPr>
            </w:pPr>
          </w:p>
        </w:tc>
      </w:tr>
    </w:tbl>
    <w:p w14:paraId="6EA484DC">
      <w:pPr>
        <w:spacing w:line="570" w:lineRule="exact"/>
        <w:jc w:val="center"/>
        <w:rPr>
          <w:rFonts w:hint="eastAsia" w:ascii="方正小标宋简体" w:hAnsi="方正小标宋简体" w:eastAsia="方正小标宋简体" w:cs="方正小标宋简体"/>
          <w:b/>
          <w:bCs/>
          <w:sz w:val="36"/>
          <w:szCs w:val="36"/>
          <w:u w:val="single"/>
        </w:rPr>
      </w:pPr>
    </w:p>
    <w:p w14:paraId="116CDDBA">
      <w:pPr>
        <w:spacing w:line="570" w:lineRule="exact"/>
        <w:jc w:val="center"/>
        <w:rPr>
          <w:rFonts w:hint="eastAsia" w:ascii="方正小标宋简体" w:hAnsi="方正小标宋简体" w:eastAsia="方正小标宋简体" w:cs="方正小标宋简体"/>
          <w:b/>
          <w:bCs/>
          <w:sz w:val="36"/>
          <w:szCs w:val="36"/>
          <w:u w:val="single"/>
        </w:rPr>
      </w:pPr>
    </w:p>
    <w:p w14:paraId="28A2DEE1">
      <w:pPr>
        <w:spacing w:line="570" w:lineRule="exact"/>
        <w:jc w:val="center"/>
        <w:rPr>
          <w:rFonts w:hint="eastAsia" w:ascii="方正小标宋简体" w:hAnsi="方正小标宋简体" w:eastAsia="方正小标宋简体" w:cs="方正小标宋简体"/>
          <w:b/>
          <w:bCs/>
          <w:sz w:val="36"/>
          <w:szCs w:val="36"/>
          <w:u w:val="single"/>
        </w:rPr>
      </w:pPr>
    </w:p>
    <w:p w14:paraId="610F3946">
      <w:pPr>
        <w:spacing w:line="570" w:lineRule="exact"/>
        <w:jc w:val="center"/>
        <w:rPr>
          <w:rFonts w:hint="eastAsia" w:ascii="方正小标宋_GBK" w:hAnsi="方正小标宋_GBK" w:eastAsia="方正小标宋_GBK" w:cs="方正小标宋_GBK"/>
          <w:b/>
          <w:bCs/>
          <w:sz w:val="36"/>
          <w:szCs w:val="36"/>
        </w:rPr>
      </w:pPr>
      <w:r>
        <w:rPr>
          <w:rFonts w:hint="eastAsia" w:ascii="方正小标宋_GBK" w:hAnsi="方正小标宋_GBK" w:eastAsia="方正小标宋_GBK" w:cs="方正小标宋_GBK"/>
          <w:b/>
          <w:bCs/>
          <w:color w:val="C00000"/>
          <w:sz w:val="36"/>
          <w:szCs w:val="36"/>
          <w:lang w:val="en-US" w:eastAsia="zh-CN"/>
        </w:rPr>
        <w:t xml:space="preserve">东方市湾溪水库库容水域承包经营权招标 </w:t>
      </w:r>
      <w:r>
        <w:rPr>
          <w:rFonts w:hint="eastAsia" w:ascii="方正小标宋_GBK" w:hAnsi="方正小标宋_GBK" w:eastAsia="方正小标宋_GBK" w:cs="方正小标宋_GBK"/>
          <w:b/>
          <w:bCs/>
          <w:sz w:val="36"/>
          <w:szCs w:val="36"/>
          <w:lang w:val="en-US" w:eastAsia="zh-CN"/>
        </w:rPr>
        <w:t>交易</w:t>
      </w:r>
      <w:r>
        <w:rPr>
          <w:rFonts w:hint="eastAsia" w:ascii="方正小标宋_GBK" w:hAnsi="方正小标宋_GBK" w:eastAsia="方正小标宋_GBK" w:cs="方正小标宋_GBK"/>
          <w:b/>
          <w:bCs/>
          <w:sz w:val="36"/>
          <w:szCs w:val="36"/>
        </w:rPr>
        <w:t>公示</w:t>
      </w:r>
    </w:p>
    <w:p w14:paraId="7519081A">
      <w:pPr>
        <w:spacing w:line="52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cstheme="minorEastAsia"/>
          <w:color w:val="C00000"/>
          <w:sz w:val="32"/>
          <w:szCs w:val="32"/>
          <w:lang w:val="en-US" w:eastAsia="zh-CN"/>
        </w:rPr>
        <w:t>东方市水务局</w:t>
      </w:r>
      <w:r>
        <w:rPr>
          <w:rFonts w:hint="eastAsia" w:asciiTheme="minorEastAsia" w:hAnsiTheme="minorEastAsia" w:eastAsiaTheme="minorEastAsia" w:cstheme="minorEastAsia"/>
          <w:sz w:val="32"/>
          <w:szCs w:val="32"/>
        </w:rPr>
        <w:t>召开的会议决议，同意</w:t>
      </w:r>
      <w:bookmarkStart w:id="36" w:name="OLE_LINK1"/>
      <w:r>
        <w:rPr>
          <w:rFonts w:hint="eastAsia" w:asciiTheme="minorEastAsia" w:hAnsiTheme="minorEastAsia" w:cstheme="minorEastAsia"/>
          <w:color w:val="C00000"/>
          <w:sz w:val="32"/>
          <w:szCs w:val="32"/>
          <w:u w:val="single"/>
          <w:lang w:eastAsia="zh-CN"/>
        </w:rPr>
        <w:t>东方市湾溪水库库容水域承包经营权招标</w:t>
      </w:r>
      <w:r>
        <w:rPr>
          <w:rFonts w:hint="eastAsia" w:asciiTheme="minorEastAsia" w:hAnsiTheme="minorEastAsia" w:cstheme="minorEastAsia"/>
          <w:color w:val="C00000"/>
          <w:sz w:val="32"/>
          <w:szCs w:val="32"/>
          <w:u w:val="single"/>
          <w:lang w:val="en-US" w:eastAsia="zh-CN"/>
        </w:rPr>
        <w:t xml:space="preserve"> </w:t>
      </w:r>
      <w:bookmarkEnd w:id="36"/>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东方</w:t>
      </w:r>
      <w:r>
        <w:rPr>
          <w:rFonts w:hint="eastAsia" w:asciiTheme="minorEastAsia" w:hAnsiTheme="minorEastAsia" w:eastAsiaTheme="minorEastAsia" w:cstheme="minorEastAsia"/>
          <w:sz w:val="32"/>
          <w:szCs w:val="32"/>
        </w:rPr>
        <w:t>农村产权交易</w:t>
      </w:r>
      <w:r>
        <w:rPr>
          <w:rFonts w:hint="eastAsia" w:asciiTheme="minorEastAsia" w:hAnsiTheme="minorEastAsia" w:cstheme="minorEastAsia"/>
          <w:sz w:val="32"/>
          <w:szCs w:val="32"/>
          <w:lang w:val="en-US" w:eastAsia="zh-CN"/>
        </w:rPr>
        <w:t>中心(以下简称“农交中心”)网站</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dongfang</w:t>
      </w:r>
      <w:r>
        <w:rPr>
          <w:rFonts w:hint="eastAsia" w:asciiTheme="minorEastAsia" w:hAnsiTheme="minorEastAsia" w:eastAsiaTheme="minorEastAsia" w:cstheme="minorEastAsia"/>
          <w:sz w:val="32"/>
          <w:szCs w:val="32"/>
        </w:rPr>
        <w:t>.nongjiao.com）进行出租交易，依据《海南</w:t>
      </w:r>
      <w:r>
        <w:rPr>
          <w:rFonts w:hint="eastAsia" w:asciiTheme="minorEastAsia" w:hAnsiTheme="minorEastAsia" w:cstheme="minorEastAsia"/>
          <w:sz w:val="32"/>
          <w:szCs w:val="32"/>
          <w:lang w:val="en-US" w:eastAsia="zh-CN"/>
        </w:rPr>
        <w:t>省</w:t>
      </w:r>
      <w:r>
        <w:rPr>
          <w:rFonts w:hint="eastAsia" w:asciiTheme="minorEastAsia" w:hAnsiTheme="minorEastAsia" w:eastAsiaTheme="minorEastAsia" w:cstheme="minorEastAsia"/>
          <w:sz w:val="32"/>
          <w:szCs w:val="32"/>
        </w:rPr>
        <w:t>农村产权流转交易管理暂行办法》规定在</w:t>
      </w:r>
      <w:r>
        <w:rPr>
          <w:rFonts w:hint="eastAsia" w:asciiTheme="minorEastAsia" w:hAnsiTheme="minorEastAsia" w:cstheme="minorEastAsia"/>
          <w:sz w:val="32"/>
          <w:szCs w:val="32"/>
          <w:lang w:eastAsia="zh-CN"/>
        </w:rPr>
        <w:t>农交中心</w:t>
      </w:r>
      <w:r>
        <w:rPr>
          <w:rFonts w:hint="eastAsia" w:asciiTheme="minorEastAsia" w:hAnsiTheme="minorEastAsia" w:eastAsiaTheme="minorEastAsia" w:cstheme="minorEastAsia"/>
          <w:sz w:val="32"/>
          <w:szCs w:val="32"/>
        </w:rPr>
        <w:t>挂牌交易，现将公示如下：</w:t>
      </w:r>
    </w:p>
    <w:p w14:paraId="312B4B5F">
      <w:pPr>
        <w:numPr>
          <w:ilvl w:val="0"/>
          <w:numId w:val="3"/>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51C52CF7">
      <w:pPr>
        <w:spacing w:line="520" w:lineRule="exact"/>
        <w:ind w:firstLine="560" w:firstLineChars="20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rPr>
        <w:t>标的名称：</w:t>
      </w:r>
      <w:r>
        <w:rPr>
          <w:rFonts w:hint="eastAsia" w:asciiTheme="minorEastAsia" w:hAnsiTheme="minorEastAsia" w:cstheme="minorEastAsia"/>
          <w:color w:val="C00000"/>
          <w:sz w:val="28"/>
          <w:szCs w:val="28"/>
          <w:lang w:eastAsia="zh-CN"/>
        </w:rPr>
        <w:t>东方市湾溪水库库容水域承包经营权招标</w:t>
      </w:r>
    </w:p>
    <w:p w14:paraId="396F0A1D">
      <w:pPr>
        <w:spacing w:line="520" w:lineRule="exact"/>
        <w:ind w:firstLine="560" w:firstLineChars="200"/>
        <w:rPr>
          <w:rFonts w:hint="eastAsia" w:asciiTheme="minorEastAsia" w:hAnsiTheme="minorEastAsia" w:eastAsiaTheme="minorEastAsia" w:cstheme="minorEastAsia"/>
          <w:color w:val="C00000"/>
          <w:sz w:val="28"/>
          <w:szCs w:val="28"/>
        </w:rPr>
      </w:pPr>
      <w:r>
        <w:rPr>
          <w:rFonts w:hint="eastAsia" w:asciiTheme="minorEastAsia" w:hAnsiTheme="minorEastAsia" w:eastAsiaTheme="minorEastAsia" w:cstheme="minorEastAsia"/>
          <w:sz w:val="28"/>
          <w:szCs w:val="28"/>
          <w:lang w:val="en-US" w:eastAsia="zh-CN"/>
        </w:rPr>
        <w:t>出租方：</w:t>
      </w:r>
      <w:r>
        <w:rPr>
          <w:rFonts w:hint="eastAsia" w:asciiTheme="minorEastAsia" w:hAnsiTheme="minorEastAsia" w:eastAsiaTheme="minorEastAsia" w:cstheme="minorEastAsia"/>
          <w:color w:val="C00000"/>
          <w:sz w:val="28"/>
          <w:szCs w:val="28"/>
          <w:lang w:val="en-US" w:eastAsia="zh-CN"/>
        </w:rPr>
        <w:t>东方市湾溪水库工程管理所</w:t>
      </w:r>
    </w:p>
    <w:p w14:paraId="644CB298">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出租面积：</w:t>
      </w:r>
      <w:r>
        <w:rPr>
          <w:rFonts w:hint="eastAsia" w:asciiTheme="minorEastAsia" w:hAnsiTheme="minorEastAsia" w:cstheme="minorEastAsia"/>
          <w:sz w:val="28"/>
          <w:szCs w:val="28"/>
          <w:lang w:val="en-US" w:eastAsia="zh-CN"/>
        </w:rPr>
        <w:t>6200000立方米</w:t>
      </w:r>
    </w:p>
    <w:p w14:paraId="6152C591">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10年</w:t>
      </w:r>
    </w:p>
    <w:p w14:paraId="1939C790">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w:t>
      </w:r>
      <w:r>
        <w:rPr>
          <w:rFonts w:hint="eastAsia" w:asciiTheme="minorEastAsia" w:hAnsiTheme="minorEastAsia" w:cstheme="minorEastAsia"/>
          <w:b w:val="0"/>
          <w:bCs w:val="0"/>
          <w:color w:val="auto"/>
          <w:sz w:val="28"/>
          <w:szCs w:val="28"/>
          <w:highlight w:val="none"/>
          <w:u w:val="none"/>
          <w:lang w:val="en-US" w:eastAsia="zh-CN"/>
        </w:rPr>
        <w:t>底价</w:t>
      </w:r>
      <w:r>
        <w:rPr>
          <w:rFonts w:hint="eastAsia" w:asciiTheme="minorEastAsia" w:hAnsiTheme="minorEastAsia" w:eastAsiaTheme="minorEastAsia" w:cstheme="minorEastAsia"/>
          <w:b w:val="0"/>
          <w:bCs w:val="0"/>
          <w:color w:val="auto"/>
          <w:sz w:val="28"/>
          <w:szCs w:val="28"/>
          <w:highlight w:val="none"/>
          <w:u w:val="none"/>
          <w:lang w:val="en-US" w:eastAsia="zh-CN"/>
        </w:rPr>
        <w:t>：</w:t>
      </w:r>
      <w:r>
        <w:rPr>
          <w:rFonts w:hint="eastAsia" w:asciiTheme="minorEastAsia" w:hAnsiTheme="minorEastAsia" w:cstheme="minorEastAsia"/>
          <w:b w:val="0"/>
          <w:bCs w:val="0"/>
          <w:color w:val="auto"/>
          <w:sz w:val="28"/>
          <w:szCs w:val="28"/>
          <w:highlight w:val="none"/>
          <w:u w:val="none"/>
          <w:lang w:val="en-US" w:eastAsia="zh-CN"/>
        </w:rPr>
        <w:t>522500元（总价）</w:t>
      </w:r>
    </w:p>
    <w:p w14:paraId="11DF4CF2">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w:t>
      </w:r>
      <w:r>
        <w:rPr>
          <w:rFonts w:hint="eastAsia" w:asciiTheme="minorEastAsia" w:hAnsiTheme="minorEastAsia" w:cstheme="minorEastAsia"/>
          <w:b w:val="0"/>
          <w:bCs w:val="0"/>
          <w:color w:val="auto"/>
          <w:sz w:val="28"/>
          <w:szCs w:val="28"/>
          <w:highlight w:val="none"/>
          <w:u w:val="none"/>
          <w:lang w:val="en-US" w:eastAsia="zh-CN"/>
        </w:rPr>
        <w:t>1500000元</w:t>
      </w:r>
    </w:p>
    <w:p w14:paraId="3C67C08C">
      <w:pPr>
        <w:spacing w:line="520" w:lineRule="exact"/>
        <w:ind w:firstLine="560" w:firstLineChars="20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rPr>
        <w:t>报名时间：2024-</w:t>
      </w:r>
      <w:r>
        <w:rPr>
          <w:rFonts w:hint="eastAsia" w:asciiTheme="minorEastAsia" w:hAnsiTheme="minorEastAsia" w:cstheme="minorEastAsia"/>
          <w:sz w:val="28"/>
          <w:szCs w:val="28"/>
          <w:lang w:val="en-US" w:eastAsia="zh-CN"/>
        </w:rPr>
        <w:t>12</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19</w:t>
      </w:r>
      <w:r>
        <w:rPr>
          <w:rFonts w:hint="eastAsia" w:asciiTheme="minorEastAsia" w:hAnsiTheme="minorEastAsia" w:eastAsiaTheme="minorEastAsia" w:cstheme="minorEastAsia"/>
          <w:sz w:val="28"/>
          <w:szCs w:val="28"/>
        </w:rPr>
        <w:t xml:space="preserve"> 10:00至2024-</w:t>
      </w:r>
      <w:r>
        <w:rPr>
          <w:rFonts w:hint="eastAsia" w:asciiTheme="minorEastAsia" w:hAnsiTheme="minorEastAsia" w:cstheme="minorEastAsia"/>
          <w:sz w:val="28"/>
          <w:szCs w:val="28"/>
          <w:lang w:val="en-US" w:eastAsia="zh-CN"/>
        </w:rPr>
        <w:t>12</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27</w:t>
      </w:r>
      <w:r>
        <w:rPr>
          <w:rFonts w:hint="eastAsia" w:asciiTheme="minorEastAsia" w:hAnsiTheme="minorEastAsia" w:eastAsiaTheme="minorEastAsia" w:cstheme="minorEastAsia"/>
          <w:sz w:val="28"/>
          <w:szCs w:val="28"/>
        </w:rPr>
        <w:t xml:space="preserve"> 1</w:t>
      </w:r>
      <w:r>
        <w:rPr>
          <w:rFonts w:hint="eastAsia" w:asciiTheme="minorEastAsia" w:hAnsiTheme="minorEastAsia" w:eastAsiaTheme="minorEastAsia" w:cstheme="minorEastAsia"/>
          <w:sz w:val="28"/>
          <w:szCs w:val="28"/>
          <w:lang w:val="en-US" w:eastAsia="zh-CN"/>
        </w:rPr>
        <w:t>0</w:t>
      </w:r>
      <w:r>
        <w:rPr>
          <w:rFonts w:hint="eastAsia" w:asciiTheme="minorEastAsia" w:hAnsiTheme="minorEastAsia" w:eastAsiaTheme="minorEastAsia" w:cstheme="minorEastAsia"/>
          <w:sz w:val="28"/>
          <w:szCs w:val="28"/>
        </w:rPr>
        <w:t>:00</w:t>
      </w:r>
    </w:p>
    <w:p w14:paraId="4CA22FF1">
      <w:pPr>
        <w:spacing w:line="520" w:lineRule="exact"/>
        <w:ind w:firstLine="56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竞价时间：2024-</w:t>
      </w:r>
      <w:r>
        <w:rPr>
          <w:rFonts w:hint="eastAsia" w:asciiTheme="minorEastAsia" w:hAnsiTheme="minorEastAsia" w:cstheme="minorEastAsia"/>
          <w:sz w:val="28"/>
          <w:szCs w:val="28"/>
          <w:lang w:val="en-US" w:eastAsia="zh-CN"/>
        </w:rPr>
        <w:t>12</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30</w:t>
      </w:r>
      <w:r>
        <w:rPr>
          <w:rFonts w:hint="eastAsia" w:asciiTheme="minorEastAsia" w:hAnsiTheme="minorEastAsia" w:eastAsiaTheme="minorEastAsia" w:cstheme="minorEastAsia"/>
          <w:sz w:val="28"/>
          <w:szCs w:val="28"/>
        </w:rPr>
        <w:t xml:space="preserve"> 10:00至2024-</w:t>
      </w:r>
      <w:r>
        <w:rPr>
          <w:rFonts w:hint="eastAsia" w:asciiTheme="minorEastAsia" w:hAnsiTheme="minorEastAsia" w:cstheme="minorEastAsia"/>
          <w:sz w:val="28"/>
          <w:szCs w:val="28"/>
          <w:lang w:val="en-US" w:eastAsia="zh-CN"/>
        </w:rPr>
        <w:t>12</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30</w:t>
      </w:r>
      <w:r>
        <w:rPr>
          <w:rFonts w:hint="eastAsia" w:asciiTheme="minorEastAsia" w:hAnsiTheme="minorEastAsia" w:eastAsiaTheme="minorEastAsia" w:cstheme="minorEastAsia"/>
          <w:sz w:val="28"/>
          <w:szCs w:val="28"/>
        </w:rPr>
        <w:t xml:space="preserve"> 16:00</w:t>
      </w:r>
    </w:p>
    <w:p w14:paraId="23EE4D7C">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一年一付，每年租金递增500元</w:t>
      </w:r>
      <w:bookmarkStart w:id="37" w:name="_GoBack"/>
      <w:bookmarkEnd w:id="37"/>
    </w:p>
    <w:p w14:paraId="7934A578">
      <w:pPr>
        <w:spacing w:line="520" w:lineRule="exact"/>
        <w:ind w:firstLine="560" w:firstLineChars="200"/>
        <w:rPr>
          <w:rFonts w:hint="eastAsia"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sz w:val="28"/>
          <w:szCs w:val="28"/>
        </w:rPr>
        <w:t>现场勘查联系方式：林东武18589669949</w:t>
      </w:r>
    </w:p>
    <w:p w14:paraId="4EF0CF80">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09C79DD6">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流转交易。</w:t>
      </w:r>
    </w:p>
    <w:p w14:paraId="0CC0B6B4">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监督电话：0898-38931829</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13878684660（报名热线）</w:t>
      </w:r>
    </w:p>
    <w:p w14:paraId="69C6789A">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报名地址：海南省东方市八所镇东海路33号。</w:t>
      </w:r>
    </w:p>
    <w:p w14:paraId="296977A8">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项目在</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 xml:space="preserve">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dongfang</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4F27A6D7">
      <w:pPr>
        <w:spacing w:line="570" w:lineRule="exact"/>
        <w:jc w:val="both"/>
        <w:rPr>
          <w:rFonts w:ascii="宋体" w:hAnsi="宋体" w:eastAsia="宋体" w:cs="宋体"/>
          <w:sz w:val="28"/>
          <w:szCs w:val="28"/>
          <w:u w:val="single"/>
        </w:rPr>
      </w:pPr>
      <w:r>
        <w:rPr>
          <w:rFonts w:hint="eastAsia" w:ascii="仿宋_GB2312" w:hAnsi="仿宋_GB2312" w:eastAsia="仿宋_GB2312" w:cs="仿宋_GB2312"/>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D:/二维码.png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二维码.png二维码"/>
                    <pic:cNvPicPr>
                      <a:picLocks noChangeAspect="1"/>
                    </pic:cNvPicPr>
                  </pic:nvPicPr>
                  <pic:blipFill>
                    <a:blip r:embed="rId4"/>
                    <a:srcRect/>
                    <a:stretch>
                      <a:fillRect/>
                    </a:stretch>
                  </pic:blipFill>
                  <pic:spPr>
                    <a:xfrm>
                      <a:off x="0" y="0"/>
                      <a:ext cx="1177290" cy="1177290"/>
                    </a:xfrm>
                    <a:prstGeom prst="rect">
                      <a:avLst/>
                    </a:prstGeom>
                    <a:noFill/>
                    <a:ln w="9525">
                      <a:noFill/>
                    </a:ln>
                  </pic:spPr>
                </pic:pic>
              </a:graphicData>
            </a:graphic>
          </wp:anchor>
        </w:drawing>
      </w:r>
    </w:p>
    <w:p w14:paraId="5889A223">
      <w:pPr>
        <w:pStyle w:val="6"/>
        <w:jc w:val="right"/>
        <w:rPr>
          <w:b/>
          <w:bCs/>
          <w:sz w:val="28"/>
          <w:szCs w:val="36"/>
        </w:rPr>
      </w:pPr>
      <w:r>
        <w:rPr>
          <w:rFonts w:hint="eastAsia"/>
          <w:b/>
          <w:bCs/>
          <w:sz w:val="28"/>
          <w:szCs w:val="36"/>
        </w:rPr>
        <w:t>已详细阅读此交易公示，对此交易公示内容无异议。</w:t>
      </w:r>
    </w:p>
    <w:p w14:paraId="155DFBDB">
      <w:pPr>
        <w:pStyle w:val="6"/>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3E84083E">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7B51AB96">
      <w:pPr>
        <w:pStyle w:val="8"/>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altName w:val="黑体"/>
    <w:panose1 w:val="02010601030101010101"/>
    <w:charset w:val="86"/>
    <w:family w:val="auto"/>
    <w:pitch w:val="default"/>
    <w:sig w:usb0="00000000" w:usb1="0000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M0NTgyZTYyOWY5MDc4Y2QwNjc0NjlhZDMwNWY5MTgifQ=="/>
  </w:docVars>
  <w:rsids>
    <w:rsidRoot w:val="00125DA0"/>
    <w:rsid w:val="00075E67"/>
    <w:rsid w:val="00125DA0"/>
    <w:rsid w:val="00167AC6"/>
    <w:rsid w:val="00B57B36"/>
    <w:rsid w:val="00CD7376"/>
    <w:rsid w:val="00E03B4E"/>
    <w:rsid w:val="00E541D7"/>
    <w:rsid w:val="011B32B7"/>
    <w:rsid w:val="09C967AF"/>
    <w:rsid w:val="0A8721A0"/>
    <w:rsid w:val="0B7B2128"/>
    <w:rsid w:val="0B985CD3"/>
    <w:rsid w:val="0CD67C16"/>
    <w:rsid w:val="0E9816ED"/>
    <w:rsid w:val="10396E71"/>
    <w:rsid w:val="11DE52CB"/>
    <w:rsid w:val="14AE726C"/>
    <w:rsid w:val="150A3847"/>
    <w:rsid w:val="160D174D"/>
    <w:rsid w:val="16D93709"/>
    <w:rsid w:val="18E10F33"/>
    <w:rsid w:val="1A0C35CC"/>
    <w:rsid w:val="1B741F99"/>
    <w:rsid w:val="1CE74D57"/>
    <w:rsid w:val="20BE4E97"/>
    <w:rsid w:val="2163678E"/>
    <w:rsid w:val="23C4301C"/>
    <w:rsid w:val="2741574C"/>
    <w:rsid w:val="2B3B26F3"/>
    <w:rsid w:val="2C765212"/>
    <w:rsid w:val="2F0F6680"/>
    <w:rsid w:val="30B56AE1"/>
    <w:rsid w:val="30CE55FA"/>
    <w:rsid w:val="327E6635"/>
    <w:rsid w:val="3321133C"/>
    <w:rsid w:val="33C70D15"/>
    <w:rsid w:val="3516702D"/>
    <w:rsid w:val="356B5D48"/>
    <w:rsid w:val="36257C7B"/>
    <w:rsid w:val="37E601A9"/>
    <w:rsid w:val="3A7A2C02"/>
    <w:rsid w:val="3EBE5137"/>
    <w:rsid w:val="3EE84C2D"/>
    <w:rsid w:val="400973E0"/>
    <w:rsid w:val="43315BEC"/>
    <w:rsid w:val="43AD1C7C"/>
    <w:rsid w:val="44191BBB"/>
    <w:rsid w:val="44912C24"/>
    <w:rsid w:val="47C03328"/>
    <w:rsid w:val="48350522"/>
    <w:rsid w:val="48F422BB"/>
    <w:rsid w:val="4A7A6DBA"/>
    <w:rsid w:val="4C122427"/>
    <w:rsid w:val="4D440E1C"/>
    <w:rsid w:val="4DC33073"/>
    <w:rsid w:val="4E3F7559"/>
    <w:rsid w:val="4ECE0172"/>
    <w:rsid w:val="51516E47"/>
    <w:rsid w:val="5CF93C67"/>
    <w:rsid w:val="5E0B036F"/>
    <w:rsid w:val="639B14F1"/>
    <w:rsid w:val="64515E2E"/>
    <w:rsid w:val="64D61FAB"/>
    <w:rsid w:val="786A7F85"/>
    <w:rsid w:val="791505B4"/>
    <w:rsid w:val="7A7C6A82"/>
    <w:rsid w:val="7D051392"/>
    <w:rsid w:val="7EC1633B"/>
    <w:rsid w:val="7EF011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5">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4">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6">
    <w:name w:val="Normal Indent"/>
    <w:basedOn w:val="1"/>
    <w:autoRedefine/>
    <w:qFormat/>
    <w:uiPriority w:val="0"/>
    <w:pPr>
      <w:ind w:firstLine="420"/>
    </w:pPr>
    <w:rPr>
      <w:rFonts w:ascii="Verdana" w:hAnsi="Verdana"/>
      <w:szCs w:val="20"/>
    </w:rPr>
  </w:style>
  <w:style w:type="paragraph" w:styleId="7">
    <w:name w:val="annotation text"/>
    <w:basedOn w:val="1"/>
    <w:autoRedefine/>
    <w:qFormat/>
    <w:uiPriority w:val="0"/>
    <w:pPr>
      <w:jc w:val="left"/>
    </w:pPr>
  </w:style>
  <w:style w:type="paragraph" w:styleId="8">
    <w:name w:val="Body Text"/>
    <w:basedOn w:val="1"/>
    <w:autoRedefine/>
    <w:qFormat/>
    <w:uiPriority w:val="0"/>
    <w:pPr>
      <w:spacing w:after="120"/>
    </w:pPr>
  </w:style>
  <w:style w:type="paragraph" w:styleId="9">
    <w:name w:val="footer"/>
    <w:basedOn w:val="1"/>
    <w:link w:val="20"/>
    <w:autoRedefine/>
    <w:qFormat/>
    <w:uiPriority w:val="0"/>
    <w:pPr>
      <w:tabs>
        <w:tab w:val="center" w:pos="4153"/>
        <w:tab w:val="right" w:pos="8306"/>
      </w:tabs>
      <w:snapToGrid w:val="0"/>
      <w:jc w:val="left"/>
    </w:pPr>
    <w:rPr>
      <w:sz w:val="18"/>
      <w:szCs w:val="18"/>
    </w:rPr>
  </w:style>
  <w:style w:type="paragraph" w:styleId="10">
    <w:name w:val="header"/>
    <w:basedOn w:val="1"/>
    <w:link w:val="19"/>
    <w:autoRedefine/>
    <w:qFormat/>
    <w:uiPriority w:val="0"/>
    <w:pPr>
      <w:tabs>
        <w:tab w:val="center" w:pos="4153"/>
        <w:tab w:val="right" w:pos="8306"/>
      </w:tabs>
      <w:snapToGrid w:val="0"/>
      <w:jc w:val="center"/>
    </w:pPr>
    <w:rPr>
      <w:sz w:val="18"/>
      <w:szCs w:val="18"/>
    </w:rPr>
  </w:style>
  <w:style w:type="paragraph" w:styleId="11">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2">
    <w:name w:val="Normal (Web)"/>
    <w:basedOn w:val="1"/>
    <w:autoRedefine/>
    <w:qFormat/>
    <w:uiPriority w:val="0"/>
    <w:pPr>
      <w:spacing w:beforeAutospacing="1" w:afterAutospacing="1"/>
      <w:jc w:val="left"/>
    </w:pPr>
    <w:rPr>
      <w:rFonts w:cs="Times New Roman"/>
      <w:kern w:val="0"/>
      <w:sz w:val="24"/>
    </w:rPr>
  </w:style>
  <w:style w:type="character" w:customStyle="1" w:styleId="15">
    <w:name w:val="标题4 Char"/>
    <w:link w:val="16"/>
    <w:autoRedefine/>
    <w:qFormat/>
    <w:locked/>
    <w:uiPriority w:val="0"/>
    <w:rPr>
      <w:rFonts w:eastAsia="宋体"/>
      <w:kern w:val="0"/>
      <w:sz w:val="36"/>
      <w:szCs w:val="20"/>
    </w:rPr>
  </w:style>
  <w:style w:type="paragraph" w:customStyle="1" w:styleId="16">
    <w:name w:val="标题4"/>
    <w:basedOn w:val="5"/>
    <w:link w:val="15"/>
    <w:autoRedefine/>
    <w:qFormat/>
    <w:uiPriority w:val="0"/>
    <w:rPr>
      <w:rFonts w:eastAsia="宋体"/>
      <w:kern w:val="0"/>
      <w:sz w:val="36"/>
      <w:szCs w:val="20"/>
    </w:rPr>
  </w:style>
  <w:style w:type="paragraph" w:customStyle="1" w:styleId="17">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8">
    <w:name w:val="WPSOffice手动目录 1"/>
    <w:autoRedefine/>
    <w:qFormat/>
    <w:uiPriority w:val="0"/>
    <w:rPr>
      <w:rFonts w:asciiTheme="minorHAnsi" w:hAnsiTheme="minorHAnsi" w:eastAsiaTheme="minorEastAsia" w:cstheme="minorBidi"/>
      <w:lang w:val="en-US" w:eastAsia="zh-CN" w:bidi="ar-SA"/>
    </w:rPr>
  </w:style>
  <w:style w:type="character" w:customStyle="1" w:styleId="19">
    <w:name w:val="页眉 字符"/>
    <w:basedOn w:val="14"/>
    <w:link w:val="10"/>
    <w:autoRedefine/>
    <w:qFormat/>
    <w:uiPriority w:val="0"/>
    <w:rPr>
      <w:rFonts w:asciiTheme="minorHAnsi" w:hAnsiTheme="minorHAnsi" w:eastAsiaTheme="minorEastAsia" w:cstheme="minorBidi"/>
      <w:kern w:val="2"/>
      <w:sz w:val="18"/>
      <w:szCs w:val="18"/>
    </w:rPr>
  </w:style>
  <w:style w:type="character" w:customStyle="1" w:styleId="20">
    <w:name w:val="页脚 字符"/>
    <w:basedOn w:val="14"/>
    <w:link w:val="9"/>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6643</Words>
  <Characters>6971</Characters>
  <Lines>59</Lines>
  <Paragraphs>16</Paragraphs>
  <TotalTime>15</TotalTime>
  <ScaleCrop>false</ScaleCrop>
  <LinksUpToDate>false</LinksUpToDate>
  <CharactersWithSpaces>7397</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孙福街</cp:lastModifiedBy>
  <dcterms:modified xsi:type="dcterms:W3CDTF">2024-12-18T11:41:15Z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F0401D92F07D4DF6B5FEF325DAA39789_13</vt:lpwstr>
  </property>
</Properties>
</file>