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258E89D3">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4454"/>
      <w:bookmarkStart w:id="2" w:name="_Toc20910"/>
      <w:bookmarkStart w:id="3" w:name="_Toc32320"/>
      <w:bookmarkStart w:id="4" w:name="_Toc21762"/>
      <w:bookmarkStart w:id="5" w:name="_Toc15737"/>
      <w:bookmarkStart w:id="6" w:name="_Toc11918"/>
      <w:bookmarkStart w:id="7" w:name="_Toc21422"/>
      <w:bookmarkStart w:id="8" w:name="_Toc20033"/>
      <w:bookmarkStart w:id="9" w:name="_Toc13462"/>
      <w:bookmarkStart w:id="10" w:name="_Toc25712"/>
      <w:bookmarkStart w:id="11" w:name="_Toc29002"/>
      <w:bookmarkStart w:id="12" w:name="_Toc24727"/>
      <w:bookmarkStart w:id="13" w:name="_Toc7615"/>
      <w:bookmarkStart w:id="14" w:name="_Toc24068"/>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琼中县营根镇加鑫广场3号楼142.09㎡05号商铺资产出租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2、琼</w:t>
      </w:r>
      <w:r>
        <w:rPr>
          <w:rFonts w:hint="eastAsia" w:ascii="新宋体" w:hAnsi="新宋体" w:eastAsia="新宋体" w:cs="Times New Roman"/>
          <w:b/>
          <w:bCs/>
          <w:spacing w:val="0"/>
          <w:sz w:val="28"/>
          <w:szCs w:val="28"/>
          <w:lang w:val="en-US" w:eastAsia="zh-CN"/>
        </w:rPr>
        <w:t>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52857.48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00FECA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琼中县营根镇加鑫广场3号楼142.09㎡05号商铺资产出租”</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琼中县营根镇加鑫广场3号楼142.09㎡05号商铺资产出租”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琼中县营根镇加鑫广场3号楼142.09㎡05号商铺资产出租”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40FDD3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琼中县营根镇加鑫广场3号楼142.09㎡05号商铺资产出租”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4580"/>
      <w:bookmarkStart w:id="29" w:name="_Toc29841"/>
      <w:bookmarkStart w:id="30" w:name="_Toc13094"/>
      <w:bookmarkStart w:id="31" w:name="_Toc32101"/>
      <w:bookmarkStart w:id="32" w:name="_Toc11237"/>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琼中县营根镇加鑫广场3号楼142.09㎡05号商铺资产出租交易</w:t>
      </w:r>
      <w:r>
        <w:rPr>
          <w:rFonts w:hint="eastAsia" w:ascii="方正小标宋_GBK" w:hAnsi="方正小标宋_GBK" w:eastAsia="方正小标宋_GBK" w:cs="方正小标宋_GBK"/>
          <w:b/>
          <w:bCs/>
          <w:sz w:val="36"/>
          <w:szCs w:val="36"/>
        </w:rPr>
        <w:t>公示</w:t>
      </w:r>
    </w:p>
    <w:p w14:paraId="6274E9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w:t>
      </w:r>
      <w:r>
        <w:rPr>
          <w:rFonts w:hint="eastAsia" w:asciiTheme="minorEastAsia" w:hAnsiTheme="minorEastAsia" w:eastAsiaTheme="minorEastAsia" w:cstheme="minorEastAsia"/>
          <w:b/>
          <w:bCs/>
          <w:sz w:val="32"/>
          <w:szCs w:val="32"/>
          <w:u w:val="single"/>
          <w:lang w:val="en-US" w:eastAsia="zh-CN"/>
        </w:rPr>
        <w:t>琼中县</w:t>
      </w:r>
      <w:r>
        <w:rPr>
          <w:rFonts w:hint="eastAsia" w:asciiTheme="minorEastAsia" w:hAnsiTheme="minorEastAsia" w:cstheme="minorEastAsia"/>
          <w:b/>
          <w:bCs/>
          <w:sz w:val="32"/>
          <w:szCs w:val="32"/>
          <w:u w:val="single"/>
          <w:lang w:val="en-US" w:eastAsia="zh-CN"/>
        </w:rPr>
        <w:t>营根镇加鑫广场3号楼142.09㎡05号商铺资产出租</w:t>
      </w:r>
      <w:r>
        <w:rPr>
          <w:rFonts w:hint="eastAsia" w:asciiTheme="minorEastAsia" w:hAnsiTheme="minorEastAsia" w:eastAsiaTheme="minorEastAsia" w:cstheme="minorEastAsia"/>
          <w:b/>
          <w:bCs/>
          <w:sz w:val="32"/>
          <w:szCs w:val="32"/>
          <w:u w:val="single"/>
          <w:lang w:val="en-US" w:eastAsia="zh-CN"/>
        </w:rPr>
        <w:t>”</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5E74543">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u w:val="single"/>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w:t>
      </w:r>
      <w:r>
        <w:rPr>
          <w:rFonts w:hint="eastAsia" w:asciiTheme="minorEastAsia" w:hAnsiTheme="minorEastAsia" w:cstheme="minorEastAsia"/>
          <w:sz w:val="28"/>
          <w:szCs w:val="28"/>
          <w:lang w:val="en-US" w:eastAsia="zh-CN"/>
        </w:rPr>
        <w:t>营根镇加鑫广场3号楼142.09㎡05号商铺资产出租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142.09㎡</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挂牌价格：52857.48元/年</w:t>
      </w:r>
    </w:p>
    <w:p w14:paraId="696925E9">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：20000元 </w:t>
      </w:r>
    </w:p>
    <w:p w14:paraId="6D469A89">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2025年1月13日10:00至2025年1月21日10:00</w:t>
      </w:r>
    </w:p>
    <w:p w14:paraId="5A413AF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2025年1月22日10:00至16:00</w:t>
      </w:r>
    </w:p>
    <w:p w14:paraId="0680CF4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bookmarkStart w:id="36" w:name="_GoBack"/>
      <w:bookmarkEnd w:id="36"/>
    </w:p>
    <w:p w14:paraId="43ED4A8C">
      <w:pPr>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pageBreakBefore w:val="0"/>
        <w:widowControl w:val="0"/>
        <w:kinsoku/>
        <w:overflowPunct/>
        <w:topLinePunct w:val="0"/>
        <w:autoSpaceDE/>
        <w:autoSpaceDN/>
        <w:bidi w:val="0"/>
        <w:adjustRightInd/>
        <w:snapToGrid/>
        <w:spacing w:line="560" w:lineRule="exact"/>
        <w:ind w:firstLine="560" w:firstLineChars="200"/>
        <w:jc w:val="right"/>
        <w:textAlignment w:val="auto"/>
        <w:rPr>
          <w:rFonts w:ascii="宋体" w:hAnsi="宋体" w:eastAsia="宋体" w:cs="宋体"/>
          <w:sz w:val="28"/>
          <w:szCs w:val="28"/>
          <w:u w:val="single"/>
        </w:rPr>
      </w:pPr>
    </w:p>
    <w:p w14:paraId="2E465E05">
      <w:pPr>
        <w:pStyle w:val="2"/>
        <w:pageBreakBefore w:val="0"/>
        <w:widowControl w:val="0"/>
        <w:kinsoku/>
        <w:overflowPunct/>
        <w:topLinePunct w:val="0"/>
        <w:autoSpaceDE/>
        <w:autoSpaceDN/>
        <w:bidi w:val="0"/>
        <w:adjustRightInd/>
        <w:snapToGrid/>
        <w:spacing w:line="560" w:lineRule="exact"/>
        <w:textAlignment w:val="auto"/>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0DF01DA9">
      <w:pPr>
        <w:pStyle w:val="5"/>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pPr>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5CB2870">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F28952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6003A26"/>
    <w:rsid w:val="18E10F33"/>
    <w:rsid w:val="190E159A"/>
    <w:rsid w:val="1A0C35CC"/>
    <w:rsid w:val="1E8E2DB0"/>
    <w:rsid w:val="1F94485C"/>
    <w:rsid w:val="2163678E"/>
    <w:rsid w:val="22907D19"/>
    <w:rsid w:val="23C4301C"/>
    <w:rsid w:val="2741574C"/>
    <w:rsid w:val="28C64D2E"/>
    <w:rsid w:val="2B1C2FF5"/>
    <w:rsid w:val="2C765212"/>
    <w:rsid w:val="30B56AE1"/>
    <w:rsid w:val="31277F96"/>
    <w:rsid w:val="327E6635"/>
    <w:rsid w:val="33F22CD8"/>
    <w:rsid w:val="3516702D"/>
    <w:rsid w:val="356B5D48"/>
    <w:rsid w:val="37E601A9"/>
    <w:rsid w:val="399065B3"/>
    <w:rsid w:val="3A7A2C02"/>
    <w:rsid w:val="3EE84C2D"/>
    <w:rsid w:val="3FB3410E"/>
    <w:rsid w:val="4106153C"/>
    <w:rsid w:val="41CD3503"/>
    <w:rsid w:val="42FE1677"/>
    <w:rsid w:val="43315BEC"/>
    <w:rsid w:val="43AD1C7C"/>
    <w:rsid w:val="44912C24"/>
    <w:rsid w:val="45E510BA"/>
    <w:rsid w:val="45F8740F"/>
    <w:rsid w:val="47C03328"/>
    <w:rsid w:val="4A072E04"/>
    <w:rsid w:val="4C122427"/>
    <w:rsid w:val="4C8B77DB"/>
    <w:rsid w:val="4D440E1C"/>
    <w:rsid w:val="4DC33073"/>
    <w:rsid w:val="4E3F7559"/>
    <w:rsid w:val="4E6558AB"/>
    <w:rsid w:val="4ECE0172"/>
    <w:rsid w:val="4F427818"/>
    <w:rsid w:val="50342624"/>
    <w:rsid w:val="51516E47"/>
    <w:rsid w:val="5C7809F2"/>
    <w:rsid w:val="5CF93C67"/>
    <w:rsid w:val="62D81AB9"/>
    <w:rsid w:val="64515E2E"/>
    <w:rsid w:val="64D61FAB"/>
    <w:rsid w:val="64E11B0D"/>
    <w:rsid w:val="6BDF7488"/>
    <w:rsid w:val="70A906E5"/>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6771</Words>
  <Characters>7228</Characters>
  <Lines>59</Lines>
  <Paragraphs>16</Paragraphs>
  <TotalTime>4</TotalTime>
  <ScaleCrop>false</ScaleCrop>
  <LinksUpToDate>false</LinksUpToDate>
  <CharactersWithSpaces>7730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2025-01-10T01:20:50Z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D33F23AA0B9A4334A82F43B92A036091_13</vt:lpwstr>
  </property>
  <property fmtid="{D5CDD505-2E9C-101B-9397-08002B2CF9AE}" pid="4" name="KSOTemplateDocerSaveRecord">
    <vt:lpwstr>eyJoZGlkIjoiMTIwOWMyZmIyYjc5ZjRhZWZlYTZlOGJlMWFiNGU5MDYiLCJ1c2VySWQiOiIzOTQ5NDM4MjUifQ==</vt:lpwstr>
  </property>
</Properties>
</file>