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0" w:firstLineChars="0"/>
        <w:jc w:val="center"/>
        <w:rPr>
          <w:rFonts w:hint="eastAsia" w:ascii="宋体" w:hAnsi="宋体" w:eastAsia="宋体" w:cs="Times New Roman"/>
          <w:b/>
          <w:bCs/>
          <w:color w:val="auto"/>
          <w:sz w:val="44"/>
          <w:szCs w:val="44"/>
          <w:highlight w:val="none"/>
          <w:lang w:eastAsia="zh-CN"/>
        </w:rPr>
      </w:pPr>
      <w:bookmarkStart w:id="0" w:name="_GoBack"/>
      <w:bookmarkEnd w:id="0"/>
      <w:r>
        <w:rPr>
          <w:rFonts w:hint="eastAsia" w:ascii="宋体" w:hAnsi="宋体" w:eastAsia="宋体" w:cs="Times New Roman"/>
          <w:b/>
          <w:bCs/>
          <w:color w:val="auto"/>
          <w:sz w:val="44"/>
          <w:szCs w:val="44"/>
          <w:highlight w:val="none"/>
          <w:lang w:val="en-US" w:eastAsia="zh-CN"/>
        </w:rPr>
        <w:t>毛石</w:t>
      </w:r>
      <w:r>
        <w:rPr>
          <w:rFonts w:hint="eastAsia" w:ascii="宋体" w:hAnsi="宋体" w:eastAsia="宋体" w:cs="Times New Roman"/>
          <w:b/>
          <w:bCs/>
          <w:color w:val="auto"/>
          <w:sz w:val="44"/>
          <w:szCs w:val="44"/>
          <w:highlight w:val="none"/>
        </w:rPr>
        <w:t>骨料购销合同</w:t>
      </w:r>
      <w:r>
        <w:rPr>
          <w:rFonts w:hint="eastAsia" w:ascii="宋体" w:hAnsi="宋体" w:eastAsia="宋体" w:cs="Times New Roman"/>
          <w:b/>
          <w:bCs/>
          <w:color w:val="auto"/>
          <w:sz w:val="44"/>
          <w:szCs w:val="44"/>
          <w:highlight w:val="none"/>
          <w:lang w:eastAsia="zh-CN"/>
        </w:rPr>
        <w:t>（</w:t>
      </w:r>
      <w:r>
        <w:rPr>
          <w:rFonts w:hint="eastAsia" w:ascii="宋体" w:hAnsi="宋体" w:eastAsia="宋体" w:cs="Times New Roman"/>
          <w:b/>
          <w:bCs/>
          <w:color w:val="auto"/>
          <w:sz w:val="44"/>
          <w:szCs w:val="44"/>
          <w:highlight w:val="none"/>
          <w:lang w:val="en-US" w:eastAsia="zh-CN"/>
        </w:rPr>
        <w:t>预售</w:t>
      </w:r>
      <w:r>
        <w:rPr>
          <w:rFonts w:hint="eastAsia" w:ascii="宋体" w:hAnsi="宋体" w:eastAsia="宋体" w:cs="Times New Roman"/>
          <w:b/>
          <w:bCs/>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合同编号：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center"/>
        <w:textAlignment w:val="auto"/>
        <w:rPr>
          <w:rFonts w:ascii="宋体" w:hAnsi="宋体" w:eastAsia="宋体" w:cs="Times New Roman"/>
          <w:color w:val="auto"/>
          <w:sz w:val="21"/>
          <w:szCs w:val="21"/>
          <w:highlight w:val="none"/>
        </w:rPr>
      </w:pPr>
      <w:r>
        <w:rPr>
          <w:rFonts w:hint="eastAsia" w:ascii="仿宋_GB2312" w:hAnsi="仿宋_GB2312" w:eastAsia="仿宋_GB2312" w:cs="仿宋_GB2312"/>
          <w:color w:val="auto"/>
          <w:sz w:val="32"/>
          <w:szCs w:val="32"/>
          <w:highlight w:val="none"/>
        </w:rPr>
        <w:t>签订地点：</w:t>
      </w:r>
    </w:p>
    <w:p>
      <w:pPr>
        <w:keepNext w:val="0"/>
        <w:keepLines w:val="0"/>
        <w:pageBreakBefore w:val="0"/>
        <w:widowControl w:val="0"/>
        <w:kinsoku/>
        <w:wordWrap/>
        <w:overflowPunct/>
        <w:topLinePunct w:val="0"/>
        <w:autoSpaceDE/>
        <w:autoSpaceDN/>
        <w:bidi w:val="0"/>
        <w:adjustRightInd w:val="0"/>
        <w:snapToGrid w:val="0"/>
        <w:spacing w:line="360" w:lineRule="auto"/>
        <w:ind w:left="636" w:leftChars="212" w:firstLine="0" w:firstLineChars="0"/>
        <w:jc w:val="left"/>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rPr>
        <w:t>买  方</w:t>
      </w:r>
      <w:r>
        <w:rPr>
          <w:rFonts w:hint="eastAsia" w:ascii="仿宋_GB2312" w:hAnsi="仿宋_GB2312" w:cs="仿宋_GB2312"/>
          <w:b/>
          <w:bCs/>
          <w:color w:val="auto"/>
          <w:sz w:val="32"/>
          <w:szCs w:val="32"/>
          <w:highlight w:val="none"/>
          <w:lang w:eastAsia="zh-CN"/>
        </w:rPr>
        <w:t>（</w:t>
      </w:r>
      <w:r>
        <w:rPr>
          <w:rFonts w:hint="eastAsia" w:ascii="仿宋_GB2312" w:hAnsi="仿宋_GB2312" w:cs="仿宋_GB2312"/>
          <w:b/>
          <w:bCs/>
          <w:color w:val="auto"/>
          <w:sz w:val="32"/>
          <w:szCs w:val="32"/>
          <w:highlight w:val="none"/>
          <w:lang w:val="en-US" w:eastAsia="zh-CN"/>
        </w:rPr>
        <w:t>甲方</w:t>
      </w:r>
      <w:r>
        <w:rPr>
          <w:rFonts w:hint="eastAsia" w:ascii="仿宋_GB2312" w:hAnsi="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w:t>
      </w:r>
      <w:r>
        <w:rPr>
          <w:rFonts w:hint="eastAsia" w:ascii="仿宋_GB2312" w:hAnsi="仿宋_GB2312" w:cs="仿宋_GB2312"/>
          <w:b/>
          <w:bCs/>
          <w:color w:val="auto"/>
          <w:sz w:val="32"/>
          <w:szCs w:val="32"/>
          <w:highlight w:val="none"/>
          <w:u w:val="single"/>
          <w:lang w:val="en-US" w:eastAsia="zh-CN"/>
        </w:rPr>
        <w:t xml:space="preserve">                                            </w:t>
      </w:r>
      <w:r>
        <w:rPr>
          <w:rFonts w:hint="eastAsia" w:ascii="仿宋_GB2312" w:hAnsi="仿宋_GB2312" w:cs="仿宋_GB2312"/>
          <w:b/>
          <w:bCs/>
          <w:color w:val="auto"/>
          <w:sz w:val="32"/>
          <w:szCs w:val="32"/>
          <w:highlight w:val="none"/>
          <w:lang w:val="en-US" w:eastAsia="zh-CN"/>
        </w:rPr>
        <w:t xml:space="preserve">  </w:t>
      </w:r>
      <w:r>
        <w:rPr>
          <w:rFonts w:hint="eastAsia" w:ascii="仿宋_GB2312" w:hAnsi="仿宋_GB2312" w:cs="仿宋_GB2312"/>
          <w:color w:val="auto"/>
          <w:sz w:val="32"/>
          <w:szCs w:val="32"/>
          <w:highlight w:val="none"/>
          <w:u w:val="none"/>
          <w:lang w:eastAsia="zh-CN"/>
        </w:rPr>
        <w:t xml:space="preserve"> </w:t>
      </w:r>
      <w:r>
        <w:rPr>
          <w:rFonts w:hint="eastAsia" w:ascii="仿宋_GB2312" w:hAnsi="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rPr>
        <w:t>地  址：</w:t>
      </w:r>
      <w:r>
        <w:rPr>
          <w:rFonts w:hint="eastAsia" w:ascii="仿宋_GB2312" w:hAnsi="仿宋_GB2312" w:eastAsia="仿宋_GB2312" w:cs="仿宋_GB2312"/>
          <w:b w:val="0"/>
          <w:bCs w:val="0"/>
          <w:color w:val="auto"/>
          <w:sz w:val="32"/>
          <w:szCs w:val="32"/>
          <w:highlight w:val="none"/>
          <w:u w:val="single"/>
        </w:rPr>
        <w:t> </w:t>
      </w:r>
      <w:r>
        <w:rPr>
          <w:rFonts w:hint="eastAsia" w:ascii="仿宋_GB2312" w:hAnsi="仿宋_GB2312" w:cs="仿宋_GB2312"/>
          <w:b w:val="0"/>
          <w:bCs w:val="0"/>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电  话：</w:t>
      </w:r>
      <w:r>
        <w:rPr>
          <w:rFonts w:hint="eastAsia" w:ascii="仿宋_GB2312" w:hAnsi="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default" w:ascii="仿宋_GB2312" w:hAnsi="仿宋_GB2312" w:eastAsia="仿宋_GB2312" w:cs="仿宋_GB2312"/>
          <w:color w:val="auto"/>
          <w:sz w:val="32"/>
          <w:szCs w:val="32"/>
          <w:highlight w:val="none"/>
          <w:u w:val="single"/>
          <w:lang w:val="en-US"/>
        </w:rPr>
      </w:pPr>
      <w:r>
        <w:rPr>
          <w:rFonts w:hint="eastAsia" w:ascii="仿宋_GB2312" w:hAnsi="仿宋_GB2312" w:eastAsia="仿宋_GB2312" w:cs="仿宋_GB2312"/>
          <w:b/>
          <w:bCs/>
          <w:color w:val="auto"/>
          <w:sz w:val="32"/>
          <w:szCs w:val="32"/>
          <w:highlight w:val="none"/>
        </w:rPr>
        <w:t>卖  方</w:t>
      </w:r>
      <w:r>
        <w:rPr>
          <w:rFonts w:hint="eastAsia" w:ascii="仿宋_GB2312" w:hAnsi="仿宋_GB2312" w:cs="仿宋_GB2312"/>
          <w:b/>
          <w:bCs/>
          <w:color w:val="auto"/>
          <w:sz w:val="32"/>
          <w:szCs w:val="32"/>
          <w:highlight w:val="none"/>
          <w:lang w:eastAsia="zh-CN"/>
        </w:rPr>
        <w:t>（</w:t>
      </w:r>
      <w:r>
        <w:rPr>
          <w:rFonts w:hint="eastAsia" w:ascii="仿宋_GB2312" w:hAnsi="仿宋_GB2312" w:cs="仿宋_GB2312"/>
          <w:b/>
          <w:bCs/>
          <w:color w:val="auto"/>
          <w:sz w:val="32"/>
          <w:szCs w:val="32"/>
          <w:highlight w:val="none"/>
          <w:lang w:val="en-US" w:eastAsia="zh-CN"/>
        </w:rPr>
        <w:t>乙方</w:t>
      </w:r>
      <w:r>
        <w:rPr>
          <w:rFonts w:hint="eastAsia" w:ascii="仿宋_GB2312" w:hAnsi="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地  址：</w:t>
      </w:r>
      <w:r>
        <w:rPr>
          <w:rFonts w:hint="eastAsia" w:ascii="仿宋_GB2312" w:hAnsi="仿宋_GB2312" w:eastAsia="仿宋_GB2312" w:cs="仿宋_GB2312"/>
          <w:b/>
          <w:bCs/>
          <w:color w:val="auto"/>
          <w:sz w:val="32"/>
          <w:szCs w:val="32"/>
          <w:highlight w:val="none"/>
          <w:u w:val="single"/>
          <w:lang w:val="en-US" w:eastAsia="zh-CN"/>
        </w:rPr>
        <w:t xml:space="preserve"> </w:t>
      </w:r>
      <w:r>
        <w:rPr>
          <w:rFonts w:hint="eastAsia" w:ascii="仿宋_GB2312" w:hAnsi="仿宋_GB2312" w:cs="仿宋_GB2312"/>
          <w:b/>
          <w:bCs/>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仿宋_GB2312" w:eastAsia="仿宋_GB2312" w:cs="仿宋_GB2312"/>
          <w:color w:val="auto"/>
          <w:sz w:val="32"/>
          <w:szCs w:val="32"/>
          <w:highlight w:val="none"/>
          <w:u w:val="single"/>
          <w:lang w:val="en-US"/>
        </w:rPr>
      </w:pPr>
      <w:r>
        <w:rPr>
          <w:rFonts w:hint="eastAsia" w:ascii="仿宋_GB2312" w:hAnsi="仿宋_GB2312" w:eastAsia="仿宋_GB2312" w:cs="仿宋_GB2312"/>
          <w:color w:val="auto"/>
          <w:sz w:val="32"/>
          <w:szCs w:val="32"/>
          <w:highlight w:val="none"/>
        </w:rPr>
        <w:t>电  话：</w:t>
      </w:r>
      <w:r>
        <w:rPr>
          <w:rFonts w:hint="eastAsia" w:ascii="仿宋_GB2312" w:hAnsi="仿宋_GB2312" w:cs="仿宋_GB2312"/>
          <w:color w:val="auto"/>
          <w:sz w:val="32"/>
          <w:szCs w:val="32"/>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ascii="宋体" w:hAnsi="宋体" w:eastAsia="宋体" w:cs="Times New Roman"/>
          <w:color w:val="auto"/>
          <w:sz w:val="21"/>
          <w:szCs w:val="21"/>
          <w:highlight w:val="none"/>
          <w:u w:val="single"/>
        </w:rPr>
      </w:pP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甲、乙双方根据《中华人民共和国民法典》及其他有关法律、法规的规定，本着诚实信用、互惠互利的商业合作精神，在平等自愿、协商一致的基础上，就骨料购销事宜签订本合同，以资信守。</w:t>
      </w:r>
    </w:p>
    <w:p>
      <w:pPr>
        <w:keepNext w:val="0"/>
        <w:keepLines w:val="0"/>
        <w:pageBreakBefore w:val="0"/>
        <w:kinsoku/>
        <w:wordWrap/>
        <w:overflowPunct/>
        <w:topLinePunct w:val="0"/>
        <w:bidi w:val="0"/>
        <w:adjustRightInd w:val="0"/>
        <w:snapToGrid w:val="0"/>
        <w:spacing w:line="360" w:lineRule="auto"/>
        <w:ind w:firstLine="643" w:firstLineChars="200"/>
        <w:jc w:val="left"/>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第一条  产品名称、品种规格、价格、数量</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val="en-US" w:eastAsia="zh-CN"/>
        </w:rPr>
        <w:t>自合同约定时间起</w:t>
      </w:r>
      <w:r>
        <w:rPr>
          <w:rFonts w:hint="eastAsia" w:ascii="仿宋_GB2312" w:hAnsi="仿宋_GB2312" w:eastAsia="仿宋_GB2312" w:cs="仿宋_GB2312"/>
          <w:color w:val="auto"/>
          <w:sz w:val="32"/>
          <w:szCs w:val="32"/>
          <w:highlight w:val="none"/>
        </w:rPr>
        <w:t>，按下表所列产品、规格及价格向</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方供应骨料产品：</w:t>
      </w:r>
    </w:p>
    <w:tbl>
      <w:tblPr>
        <w:tblStyle w:val="5"/>
        <w:tblW w:w="10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702"/>
        <w:gridCol w:w="1950"/>
        <w:gridCol w:w="1675"/>
        <w:gridCol w:w="161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2075"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产品名称</w:t>
            </w:r>
          </w:p>
        </w:tc>
        <w:tc>
          <w:tcPr>
            <w:tcW w:w="1702"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产品规格</w:t>
            </w:r>
          </w:p>
        </w:tc>
        <w:tc>
          <w:tcPr>
            <w:tcW w:w="1950"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不</w:t>
            </w:r>
            <w:r>
              <w:rPr>
                <w:rFonts w:hint="eastAsia" w:ascii="仿宋_GB2312" w:hAnsi="仿宋_GB2312" w:eastAsia="仿宋_GB2312" w:cs="仿宋_GB2312"/>
                <w:color w:val="auto"/>
                <w:sz w:val="28"/>
                <w:szCs w:val="28"/>
                <w:highlight w:val="none"/>
              </w:rPr>
              <w:t>含税</w:t>
            </w:r>
            <w:r>
              <w:rPr>
                <w:rFonts w:hint="eastAsia" w:ascii="仿宋_GB2312" w:hAnsi="仿宋_GB2312" w:eastAsia="仿宋_GB2312" w:cs="仿宋_GB2312"/>
                <w:color w:val="auto"/>
                <w:sz w:val="28"/>
                <w:szCs w:val="28"/>
                <w:highlight w:val="none"/>
                <w:lang w:val="en-US" w:eastAsia="zh-CN"/>
              </w:rPr>
              <w:t>预售</w:t>
            </w:r>
            <w:r>
              <w:rPr>
                <w:rFonts w:hint="eastAsia" w:ascii="仿宋_GB2312" w:hAnsi="仿宋_GB2312" w:eastAsia="仿宋_GB2312" w:cs="仿宋_GB2312"/>
                <w:color w:val="auto"/>
                <w:sz w:val="28"/>
                <w:szCs w:val="28"/>
                <w:highlight w:val="none"/>
              </w:rPr>
              <w:t>价</w:t>
            </w:r>
          </w:p>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（元/吨）</w:t>
            </w:r>
          </w:p>
        </w:tc>
        <w:tc>
          <w:tcPr>
            <w:tcW w:w="1675"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含税</w:t>
            </w:r>
            <w:r>
              <w:rPr>
                <w:rFonts w:hint="eastAsia" w:ascii="仿宋_GB2312" w:hAnsi="仿宋_GB2312" w:eastAsia="仿宋_GB2312" w:cs="仿宋_GB2312"/>
                <w:color w:val="auto"/>
                <w:sz w:val="28"/>
                <w:szCs w:val="28"/>
                <w:highlight w:val="none"/>
                <w:lang w:val="en-US" w:eastAsia="zh-CN"/>
              </w:rPr>
              <w:t>预售</w:t>
            </w:r>
            <w:r>
              <w:rPr>
                <w:rFonts w:hint="eastAsia" w:ascii="仿宋_GB2312" w:hAnsi="仿宋_GB2312" w:eastAsia="仿宋_GB2312" w:cs="仿宋_GB2312"/>
                <w:color w:val="auto"/>
                <w:sz w:val="28"/>
                <w:szCs w:val="28"/>
                <w:highlight w:val="none"/>
              </w:rPr>
              <w:t>价</w:t>
            </w:r>
          </w:p>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（元/吨）</w:t>
            </w:r>
          </w:p>
        </w:tc>
        <w:tc>
          <w:tcPr>
            <w:tcW w:w="1617"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交货方式</w:t>
            </w:r>
          </w:p>
        </w:tc>
        <w:tc>
          <w:tcPr>
            <w:tcW w:w="1482"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计划提货数量（吨）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75"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毛石（花岗岩）</w:t>
            </w:r>
          </w:p>
        </w:tc>
        <w:tc>
          <w:tcPr>
            <w:tcW w:w="1702"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≤80cm</w:t>
            </w:r>
          </w:p>
        </w:tc>
        <w:tc>
          <w:tcPr>
            <w:tcW w:w="1950" w:type="dxa"/>
            <w:noWrap w:val="0"/>
            <w:vAlign w:val="top"/>
          </w:tcPr>
          <w:p>
            <w:pPr>
              <w:keepNext w:val="0"/>
              <w:keepLines w:val="0"/>
              <w:pageBreakBefore w:val="0"/>
              <w:kinsoku/>
              <w:wordWrap/>
              <w:overflowPunct/>
              <w:topLinePunct w:val="0"/>
              <w:bidi w:val="0"/>
              <w:spacing w:line="360" w:lineRule="auto"/>
              <w:ind w:firstLine="0" w:firstLineChars="0"/>
              <w:jc w:val="center"/>
              <w:textAlignment w:val="auto"/>
              <w:rPr>
                <w:rFonts w:hint="default" w:ascii="仿宋_GB2312" w:hAnsi="仿宋_GB2312" w:eastAsia="仿宋_GB2312" w:cs="仿宋_GB2312"/>
                <w:color w:val="auto"/>
                <w:sz w:val="28"/>
                <w:szCs w:val="28"/>
                <w:highlight w:val="none"/>
                <w:lang w:val="en-US" w:eastAsia="zh-CN"/>
              </w:rPr>
            </w:pPr>
          </w:p>
        </w:tc>
        <w:tc>
          <w:tcPr>
            <w:tcW w:w="1675" w:type="dxa"/>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default" w:ascii="仿宋_GB2312" w:hAnsi="仿宋_GB2312" w:cs="仿宋_GB2312"/>
                <w:color w:val="auto"/>
                <w:sz w:val="28"/>
                <w:szCs w:val="28"/>
                <w:highlight w:val="none"/>
                <w:lang w:val="en-US" w:eastAsia="zh-CN"/>
              </w:rPr>
            </w:pPr>
          </w:p>
        </w:tc>
        <w:tc>
          <w:tcPr>
            <w:tcW w:w="1617" w:type="dxa"/>
            <w:noWrap w:val="0"/>
            <w:vAlign w:val="center"/>
          </w:tcPr>
          <w:p>
            <w:pPr>
              <w:keepNext w:val="0"/>
              <w:keepLines w:val="0"/>
              <w:pageBreakBefore w:val="0"/>
              <w:kinsoku/>
              <w:wordWrap/>
              <w:overflowPunct/>
              <w:topLinePunct w:val="0"/>
              <w:bidi w:val="0"/>
              <w:spacing w:line="36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汽运自提</w:t>
            </w:r>
          </w:p>
        </w:tc>
        <w:tc>
          <w:tcPr>
            <w:tcW w:w="1482" w:type="dxa"/>
            <w:noWrap w:val="0"/>
            <w:vAlign w:val="center"/>
          </w:tcPr>
          <w:p>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100万</w:t>
            </w:r>
          </w:p>
        </w:tc>
      </w:tr>
    </w:tbl>
    <w:p>
      <w:pPr>
        <w:keepNext w:val="0"/>
        <w:keepLines w:val="0"/>
        <w:pageBreakBefore w:val="0"/>
        <w:kinsoku/>
        <w:wordWrap/>
        <w:overflowPunct/>
        <w:topLinePunct w:val="0"/>
        <w:bidi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说明：</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b w:val="0"/>
          <w:bCs/>
          <w:color w:val="auto"/>
          <w:sz w:val="32"/>
          <w:szCs w:val="32"/>
          <w:highlight w:val="none"/>
        </w:rPr>
        <w:t>含税结算价</w:t>
      </w:r>
      <w:r>
        <w:rPr>
          <w:rFonts w:hint="eastAsia" w:ascii="仿宋_GB2312" w:hAnsi="仿宋_GB2312" w:eastAsia="仿宋_GB2312" w:cs="仿宋_GB2312"/>
          <w:color w:val="auto"/>
          <w:sz w:val="32"/>
          <w:szCs w:val="32"/>
          <w:highlight w:val="none"/>
        </w:rPr>
        <w:t>为产品在</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u w:val="single"/>
        </w:rPr>
        <w:t>生产厂自提</w:t>
      </w:r>
      <w:r>
        <w:rPr>
          <w:rFonts w:hint="eastAsia" w:ascii="仿宋_GB2312" w:hAnsi="仿宋_GB2312" w:eastAsia="仿宋_GB2312" w:cs="仿宋_GB2312"/>
          <w:color w:val="auto"/>
          <w:sz w:val="32"/>
          <w:szCs w:val="32"/>
          <w:highlight w:val="none"/>
        </w:rPr>
        <w:t>的现金交货价格。</w:t>
      </w:r>
      <w:r>
        <w:rPr>
          <w:rFonts w:hint="eastAsia" w:ascii="仿宋_GB2312" w:hAnsi="仿宋_GB2312" w:cs="仿宋_GB2312"/>
          <w:color w:val="auto"/>
          <w:sz w:val="32"/>
          <w:szCs w:val="32"/>
          <w:highlight w:val="none"/>
          <w:lang w:val="en-US" w:eastAsia="zh-CN"/>
        </w:rPr>
        <w:t>本合同约定的单价为暂定价</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1"/>
        </w:numPr>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方应于每月</w:t>
      </w:r>
      <w:r>
        <w:rPr>
          <w:rFonts w:hint="eastAsia" w:ascii="仿宋_GB2312" w:hAnsi="仿宋_GB2312" w:cs="仿宋_GB2312"/>
          <w:color w:val="auto"/>
          <w:sz w:val="32"/>
          <w:szCs w:val="32"/>
          <w:highlight w:val="none"/>
          <w:u w:val="single"/>
          <w:lang w:val="en-US" w:eastAsia="zh-CN"/>
        </w:rPr>
        <w:t>20</w:t>
      </w:r>
      <w:r>
        <w:rPr>
          <w:rFonts w:hint="eastAsia" w:ascii="仿宋_GB2312" w:hAnsi="仿宋_GB2312" w:eastAsia="仿宋_GB2312" w:cs="仿宋_GB2312"/>
          <w:color w:val="auto"/>
          <w:sz w:val="32"/>
          <w:szCs w:val="32"/>
          <w:highlight w:val="none"/>
        </w:rPr>
        <w:t>日前，以书面形式通知</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方下一月度骨料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包括毛石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产品需求计划，以便</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方组织生产。</w:t>
      </w:r>
    </w:p>
    <w:p>
      <w:pPr>
        <w:keepNext w:val="0"/>
        <w:keepLines w:val="0"/>
        <w:pageBreakBefore w:val="0"/>
        <w:numPr>
          <w:ilvl w:val="0"/>
          <w:numId w:val="1"/>
        </w:numPr>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如遇不可抗力因素（指受诸如战争、严重的火灾、台风、地震、洪水、停限电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政府原因</w:t>
      </w:r>
      <w:r>
        <w:rPr>
          <w:rFonts w:hint="eastAsia" w:ascii="仿宋_GB2312" w:hAnsi="仿宋_GB2312" w:eastAsia="仿宋_GB2312" w:cs="仿宋_GB2312"/>
          <w:color w:val="auto"/>
          <w:sz w:val="32"/>
          <w:szCs w:val="32"/>
          <w:highlight w:val="none"/>
        </w:rPr>
        <w:t>以及任何其他不能预见、不能避免且不能克服的事件）或甲方工厂设备检修、故障等情形，甲方应提前正式书面通知乙方，避免因此产生损失。</w:t>
      </w:r>
    </w:p>
    <w:p>
      <w:pPr>
        <w:pStyle w:val="2"/>
        <w:keepNext w:val="0"/>
        <w:keepLines w:val="0"/>
        <w:pageBreakBefore w:val="0"/>
        <w:numPr>
          <w:ilvl w:val="0"/>
          <w:numId w:val="1"/>
        </w:numPr>
        <w:kinsoku/>
        <w:wordWrap/>
        <w:overflowPunct/>
        <w:topLinePunct w:val="0"/>
        <w:bidi w:val="0"/>
        <w:spacing w:line="360" w:lineRule="auto"/>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双方共同约定最低供货量为20万吨/月，总供货量为100万吨，自首笔交货日起7个月内，每月30号之前需完成当月最低提货量（不包括供、提货首月），7个月内必须提完所有货物。</w:t>
      </w:r>
    </w:p>
    <w:p>
      <w:pPr>
        <w:keepNext w:val="0"/>
        <w:keepLines w:val="0"/>
        <w:pageBreakBefore w:val="0"/>
        <w:kinsoku/>
        <w:wordWrap/>
        <w:overflowPunct/>
        <w:topLinePunct w:val="0"/>
        <w:bidi w:val="0"/>
        <w:adjustRightInd w:val="0"/>
        <w:snapToGrid w:val="0"/>
        <w:spacing w:line="360" w:lineRule="auto"/>
        <w:ind w:firstLine="420" w:firstLineChars="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第二条  质量要求</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方供应的产品质量需遵照GB/T 14685-20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、GB/T 14684-20</w:t>
      </w:r>
      <w:r>
        <w:rPr>
          <w:rFonts w:hint="eastAsia" w:ascii="仿宋_GB2312" w:hAnsi="仿宋_GB2312" w:eastAsia="仿宋_GB2312" w:cs="仿宋_GB2312"/>
          <w:color w:val="auto"/>
          <w:sz w:val="32"/>
          <w:szCs w:val="32"/>
          <w:highlight w:val="none"/>
          <w:lang w:val="en-US" w:eastAsia="zh-CN"/>
        </w:rPr>
        <w:t>22等</w:t>
      </w:r>
      <w:r>
        <w:rPr>
          <w:rFonts w:hint="eastAsia" w:ascii="仿宋_GB2312" w:hAnsi="仿宋_GB2312" w:eastAsia="仿宋_GB2312" w:cs="仿宋_GB2312"/>
          <w:color w:val="auto"/>
          <w:sz w:val="32"/>
          <w:szCs w:val="32"/>
          <w:highlight w:val="none"/>
        </w:rPr>
        <w:t>国家标准执行，合同履行过程中如有颁布最新标准，则按最新标准执行。</w:t>
      </w:r>
    </w:p>
    <w:p>
      <w:pPr>
        <w:keepNext w:val="0"/>
        <w:keepLines w:val="0"/>
        <w:pageBreakBefore w:val="0"/>
        <w:kinsoku/>
        <w:wordWrap/>
        <w:overflowPunct/>
        <w:topLinePunct w:val="0"/>
        <w:bidi w:val="0"/>
        <w:adjustRightInd w:val="0"/>
        <w:snapToGrid w:val="0"/>
        <w:spacing w:line="360" w:lineRule="auto"/>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  交货时间、交货地点、交货方式、货物签收及运杂费结算</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default"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sz w:val="32"/>
          <w:szCs w:val="32"/>
          <w:highlight w:val="none"/>
        </w:rPr>
        <w:t>1、交货时间：</w:t>
      </w:r>
      <w:r>
        <w:rPr>
          <w:rFonts w:hint="eastAsia" w:ascii="仿宋_GB2312" w:hAnsi="仿宋_GB2312" w:cs="仿宋_GB2312"/>
          <w:color w:val="auto"/>
          <w:sz w:val="32"/>
          <w:szCs w:val="32"/>
          <w:highlight w:val="none"/>
          <w:u w:val="none"/>
          <w:lang w:val="en-US" w:eastAsia="zh-CN"/>
        </w:rPr>
        <w:t>乙方在完成相关手续且收到甲方发送的产品需求计划及支付的预付款后，乙方应在收到要求之日起</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u w:val="none"/>
          <w:lang w:val="en-US" w:eastAsia="zh-CN"/>
        </w:rPr>
        <w:t>个工作日内回复甲方预计备货完成时间。备货时间应根据产品生产周期、原材料供应短缺等不可预见、不可避免的原因导致备货时间延长，乙方应在知悉情况后</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u w:val="none"/>
          <w:lang w:val="en-US" w:eastAsia="zh-CN"/>
        </w:rPr>
        <w:t>个工作日内书面通知甲方，并说明新的预计备货完成时间。</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2、交货方式及地点</w:t>
      </w:r>
    </w:p>
    <w:p>
      <w:pPr>
        <w:keepNext w:val="0"/>
        <w:keepLines w:val="0"/>
        <w:pageBreakBefore w:val="0"/>
        <w:kinsoku/>
        <w:wordWrap/>
        <w:overflowPunct/>
        <w:topLinePunct w:val="0"/>
        <w:bidi w:val="0"/>
        <w:adjustRightInd w:val="0"/>
        <w:snapToGrid w:val="0"/>
        <w:spacing w:line="360" w:lineRule="auto"/>
        <w:jc w:val="left"/>
        <w:textAlignment w:val="auto"/>
        <w:outlineLvl w:val="0"/>
        <w:rPr>
          <w:rFonts w:hint="eastAsia" w:ascii="仿宋_GB2312" w:hAnsi="仿宋_GB2312" w:eastAsia="仿宋_GB2312" w:cs="仿宋_GB2312"/>
          <w:color w:val="auto"/>
          <w:sz w:val="32"/>
          <w:szCs w:val="32"/>
          <w:highlight w:val="none"/>
          <w:u w:val="single"/>
        </w:rPr>
      </w:pP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方自提：</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方自行安排运输工具提货，运杂费由</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方承担，交货地点为</w:t>
      </w:r>
      <w:r>
        <w:rPr>
          <w:rFonts w:hint="eastAsia" w:ascii="仿宋_GB2312" w:hAnsi="仿宋_GB2312" w:cs="仿宋_GB2312"/>
          <w:color w:val="auto"/>
          <w:sz w:val="32"/>
          <w:szCs w:val="32"/>
          <w:highlight w:val="none"/>
          <w:u w:val="single"/>
          <w:lang w:val="en-US" w:eastAsia="zh-CN"/>
        </w:rPr>
        <w:t>儋州市西培农场端门岭</w:t>
      </w:r>
      <w:r>
        <w:rPr>
          <w:rFonts w:hint="eastAsia" w:ascii="仿宋_GB2312" w:hAnsi="仿宋_GB2312" w:eastAsia="仿宋_GB2312" w:cs="仿宋_GB2312"/>
          <w:color w:val="auto"/>
          <w:sz w:val="32"/>
          <w:szCs w:val="32"/>
          <w:highlight w:val="none"/>
          <w:u w:val="single"/>
        </w:rPr>
        <w:t>矿区</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2"/>
        </w:numPr>
        <w:kinsoku/>
        <w:wordWrap/>
        <w:overflowPunct/>
        <w:topLinePunct w:val="0"/>
        <w:bidi w:val="0"/>
        <w:adjustRightInd w:val="0"/>
        <w:snapToGrid w:val="0"/>
        <w:spacing w:line="360" w:lineRule="auto"/>
        <w:ind w:firstLine="640" w:firstLineChars="200"/>
        <w:jc w:val="left"/>
        <w:textAlignment w:val="auto"/>
        <w:outlineLvl w:val="0"/>
        <w:rPr>
          <w:rFonts w:hint="eastAsia"/>
        </w:rPr>
      </w:pPr>
      <w:r>
        <w:rPr>
          <w:rFonts w:hint="eastAsia" w:ascii="仿宋_GB2312" w:hAnsi="仿宋_GB2312" w:eastAsia="仿宋_GB2312" w:cs="仿宋_GB2312"/>
          <w:color w:val="auto"/>
          <w:sz w:val="32"/>
          <w:szCs w:val="32"/>
          <w:highlight w:val="none"/>
        </w:rPr>
        <w:t>货物签收：本合同签订后首次交货前，</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方应向</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方提供代表</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方签收货物的人员的书面授权书（加盖</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方公章），内容包括签收人员的姓名、身份证复印件、联系电话及签名样本等。交货时由</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方授权的签收人员代表</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方履行产品签收手续。合同期间，</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方签收人员若发生变更，</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方应提前3日书面通知</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方并经甲方书面确认，否则，由此引起的一切损失及责任，由</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方自行承担。</w:t>
      </w:r>
    </w:p>
    <w:p>
      <w:pPr>
        <w:keepNext w:val="0"/>
        <w:keepLines w:val="0"/>
        <w:pageBreakBefore w:val="0"/>
        <w:numPr>
          <w:ilvl w:val="0"/>
          <w:numId w:val="0"/>
        </w:numPr>
        <w:kinsoku/>
        <w:wordWrap/>
        <w:overflowPunct/>
        <w:topLinePunct w:val="0"/>
        <w:bidi w:val="0"/>
        <w:adjustRightInd w:val="0"/>
        <w:snapToGrid w:val="0"/>
        <w:spacing w:line="360" w:lineRule="auto"/>
        <w:ind w:firstLine="640" w:firstLineChars="200"/>
        <w:jc w:val="left"/>
        <w:textAlignment w:val="auto"/>
        <w:outlineLvl w:val="0"/>
        <w:rPr>
          <w:rFonts w:hint="default"/>
          <w:lang w:val="en-US"/>
        </w:rPr>
      </w:pPr>
      <w:r>
        <w:rPr>
          <w:rFonts w:hint="eastAsia" w:ascii="仿宋_GB2312" w:hAnsi="仿宋_GB2312" w:cs="仿宋_GB2312"/>
          <w:color w:val="auto"/>
          <w:sz w:val="32"/>
          <w:szCs w:val="32"/>
          <w:highlight w:val="none"/>
          <w:lang w:val="en-US" w:eastAsia="zh-CN"/>
        </w:rPr>
        <w:t>4、提货通知与提货期限：乙方完成备货后，应及时通知甲方提货，通知方式包括但不限于书面通知、电子邮件、短信等。甲方应在收到通知后</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lang w:val="en-US" w:eastAsia="zh-CN"/>
        </w:rPr>
        <w:t>个工作日内安排提货。若甲方未在规定时间内提货，应提前</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lang w:val="en-US" w:eastAsia="zh-CN"/>
        </w:rPr>
        <w:t>个工作日书面通知乙方并说明原因，经乙方书面同意后方可延期提货。</w:t>
      </w:r>
    </w:p>
    <w:p>
      <w:pPr>
        <w:keepNext w:val="0"/>
        <w:keepLines w:val="0"/>
        <w:pageBreakBefore w:val="0"/>
        <w:kinsoku/>
        <w:wordWrap/>
        <w:overflowPunct/>
        <w:topLinePunct w:val="0"/>
        <w:bidi w:val="0"/>
        <w:adjustRightInd w:val="0"/>
        <w:snapToGrid w:val="0"/>
        <w:spacing w:line="360" w:lineRule="auto"/>
        <w:ind w:firstLine="630" w:firstLineChars="196"/>
        <w:jc w:val="left"/>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第四条  计量标准</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方过磅数量为准（地磅须经法定计量检测机构认可），合理损耗按</w:t>
      </w:r>
      <w:r>
        <w:rPr>
          <w:rFonts w:hint="eastAsia" w:ascii="仿宋_GB2312" w:hAnsi="仿宋_GB2312" w:eastAsia="仿宋_GB2312" w:cs="仿宋_GB2312"/>
          <w:color w:val="auto"/>
          <w:sz w:val="32"/>
          <w:szCs w:val="32"/>
          <w:highlight w:val="none"/>
          <w:u w:val="single"/>
        </w:rPr>
        <w:t xml:space="preserve">±3‰ </w:t>
      </w:r>
      <w:r>
        <w:rPr>
          <w:rFonts w:hint="eastAsia" w:ascii="仿宋_GB2312" w:hAnsi="仿宋_GB2312" w:eastAsia="仿宋_GB2312" w:cs="仿宋_GB2312"/>
          <w:color w:val="auto"/>
          <w:sz w:val="32"/>
          <w:szCs w:val="32"/>
          <w:highlight w:val="none"/>
        </w:rPr>
        <w:t>的标准执行。</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方可抽检复磅（地磅须经法定计量检测机构认可），若</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方抽检结果与</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方提供的过磅数量磅差值在</w:t>
      </w:r>
      <w:r>
        <w:rPr>
          <w:rFonts w:hint="eastAsia" w:ascii="仿宋_GB2312" w:hAnsi="仿宋_GB2312" w:eastAsia="仿宋_GB2312" w:cs="仿宋_GB2312"/>
          <w:color w:val="auto"/>
          <w:sz w:val="32"/>
          <w:szCs w:val="32"/>
          <w:highlight w:val="none"/>
          <w:u w:val="single"/>
        </w:rPr>
        <w:t xml:space="preserve">±3‰ </w:t>
      </w:r>
      <w:r>
        <w:rPr>
          <w:rFonts w:hint="eastAsia" w:ascii="仿宋_GB2312" w:hAnsi="仿宋_GB2312" w:eastAsia="仿宋_GB2312" w:cs="仿宋_GB2312"/>
          <w:color w:val="auto"/>
          <w:sz w:val="32"/>
          <w:szCs w:val="32"/>
          <w:highlight w:val="none"/>
        </w:rPr>
        <w:t>以内，甲、乙双方同意属于正常，该批货物结算数量以</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方过磅单数量为准，复磅费用由</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方承担；若甲、乙双方磅负差超过</w:t>
      </w:r>
      <w:r>
        <w:rPr>
          <w:rFonts w:hint="eastAsia" w:ascii="仿宋_GB2312" w:hAnsi="仿宋_GB2312" w:eastAsia="仿宋_GB2312" w:cs="仿宋_GB2312"/>
          <w:color w:val="auto"/>
          <w:sz w:val="32"/>
          <w:szCs w:val="32"/>
          <w:highlight w:val="none"/>
          <w:u w:val="single"/>
        </w:rPr>
        <w:t xml:space="preserve">3‰ </w:t>
      </w:r>
      <w:r>
        <w:rPr>
          <w:rFonts w:hint="eastAsia" w:ascii="仿宋_GB2312" w:hAnsi="仿宋_GB2312" w:eastAsia="仿宋_GB2312" w:cs="仿宋_GB2312"/>
          <w:color w:val="auto"/>
          <w:sz w:val="32"/>
          <w:szCs w:val="32"/>
          <w:highlight w:val="none"/>
        </w:rPr>
        <w:t>，则可经双方认可的第三方地磅进行复核（第三方地磅须经法定计量检测机构认可），该批货物结算数量以与第三方复磅误差量小的一方过磅数量为准，复磅费用由误差量大的一方承担。</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方抽检复磅须在签收产品时书面提出并当场检验。</w:t>
      </w:r>
    </w:p>
    <w:p>
      <w:pPr>
        <w:keepNext w:val="0"/>
        <w:keepLines w:val="0"/>
        <w:pageBreakBefore w:val="0"/>
        <w:kinsoku/>
        <w:wordWrap/>
        <w:overflowPunct/>
        <w:topLinePunct w:val="0"/>
        <w:bidi w:val="0"/>
        <w:adjustRightInd w:val="0"/>
        <w:snapToGrid w:val="0"/>
        <w:spacing w:line="360" w:lineRule="auto"/>
        <w:ind w:firstLine="643" w:firstLineChars="200"/>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  验收标准</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产品的质量验收以</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方生产厂同批次产品的检验报告为依据。</w:t>
      </w:r>
    </w:p>
    <w:p>
      <w:pPr>
        <w:keepNext w:val="0"/>
        <w:keepLines w:val="0"/>
        <w:pageBreakBefore w:val="0"/>
        <w:kinsoku/>
        <w:wordWrap/>
        <w:overflowPunct/>
        <w:topLinePunct w:val="0"/>
        <w:bidi w:val="0"/>
        <w:adjustRightInd w:val="0"/>
        <w:snapToGrid w:val="0"/>
        <w:spacing w:line="360" w:lineRule="auto"/>
        <w:ind w:firstLine="643" w:firstLineChars="200"/>
        <w:jc w:val="left"/>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第六条  付款及结算方式</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1、本合同约定首期预付货款为</w:t>
      </w:r>
      <w:r>
        <w:rPr>
          <w:rFonts w:hint="eastAsia" w:ascii="仿宋_GB2312" w:hAnsi="仿宋_GB2312" w:eastAsia="仿宋_GB2312" w:cs="仿宋_GB2312"/>
          <w:color w:val="auto"/>
          <w:sz w:val="32"/>
          <w:szCs w:val="32"/>
          <w:highlight w:val="none"/>
          <w:lang w:val="en-US" w:eastAsia="zh-CN"/>
        </w:rPr>
        <w:t>成交价的</w:t>
      </w:r>
      <w:r>
        <w:rPr>
          <w:rFonts w:hint="eastAsia" w:ascii="仿宋_GB2312" w:hAnsi="仿宋_GB2312" w:eastAsia="仿宋_GB2312" w:cs="仿宋_GB2312"/>
          <w:color w:val="auto"/>
          <w:sz w:val="32"/>
          <w:szCs w:val="32"/>
          <w:highlight w:val="none"/>
          <w:u w:val="single"/>
          <w:lang w:val="en-US" w:eastAsia="zh-CN"/>
        </w:rPr>
        <w:t>50%</w:t>
      </w:r>
      <w:r>
        <w:rPr>
          <w:rFonts w:hint="eastAsia" w:ascii="仿宋_GB2312" w:hAnsi="仿宋_GB2312" w:eastAsia="仿宋_GB2312" w:cs="仿宋_GB2312"/>
          <w:color w:val="auto"/>
          <w:sz w:val="32"/>
          <w:szCs w:val="32"/>
          <w:highlight w:val="none"/>
          <w:lang w:val="en-US" w:eastAsia="zh-CN"/>
        </w:rPr>
        <w:t>，成交价以乙方通过竞拍程序最终确认的最高报价为准。买</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val="en-US" w:eastAsia="zh-CN"/>
        </w:rPr>
        <w:t>在竞买本产品时需缴纳起拍价</w:t>
      </w:r>
      <w:r>
        <w:rPr>
          <w:rFonts w:hint="eastAsia" w:ascii="仿宋_GB2312" w:hAnsi="仿宋_GB2312" w:eastAsia="仿宋_GB2312" w:cs="仿宋_GB2312"/>
          <w:color w:val="auto"/>
          <w:sz w:val="32"/>
          <w:szCs w:val="32"/>
          <w:highlight w:val="none"/>
          <w:u w:val="single"/>
          <w:lang w:val="en-US" w:eastAsia="zh-CN"/>
        </w:rPr>
        <w:t>￥xxx</w:t>
      </w:r>
      <w:r>
        <w:rPr>
          <w:rFonts w:hint="eastAsia" w:ascii="仿宋_GB2312" w:hAnsi="仿宋_GB2312" w:eastAsia="仿宋_GB2312" w:cs="仿宋_GB2312"/>
          <w:color w:val="auto"/>
          <w:sz w:val="32"/>
          <w:szCs w:val="32"/>
          <w:highlight w:val="none"/>
          <w:lang w:val="en-US" w:eastAsia="zh-CN"/>
        </w:rPr>
        <w:t>万元（大写：xxx元整）的</w:t>
      </w:r>
      <w:r>
        <w:rPr>
          <w:rFonts w:hint="eastAsia" w:ascii="仿宋_GB2312" w:hAnsi="仿宋_GB2312" w:eastAsia="仿宋_GB2312" w:cs="仿宋_GB2312"/>
          <w:color w:val="auto"/>
          <w:sz w:val="32"/>
          <w:szCs w:val="32"/>
          <w:highlight w:val="none"/>
          <w:u w:val="single"/>
          <w:lang w:val="en-US" w:eastAsia="zh-CN"/>
        </w:rPr>
        <w:t>50%</w:t>
      </w:r>
      <w:r>
        <w:rPr>
          <w:rFonts w:hint="eastAsia" w:ascii="仿宋_GB2312" w:hAnsi="仿宋_GB2312" w:eastAsia="仿宋_GB2312" w:cs="仿宋_GB2312"/>
          <w:color w:val="auto"/>
          <w:sz w:val="32"/>
          <w:szCs w:val="32"/>
          <w:highlight w:val="none"/>
          <w:lang w:val="en-US" w:eastAsia="zh-CN"/>
        </w:rPr>
        <w:t>即</w:t>
      </w:r>
      <w:r>
        <w:rPr>
          <w:rFonts w:hint="eastAsia" w:ascii="仿宋_GB2312" w:hAnsi="仿宋_GB2312" w:eastAsia="仿宋_GB2312" w:cs="仿宋_GB2312"/>
          <w:color w:val="auto"/>
          <w:sz w:val="32"/>
          <w:szCs w:val="32"/>
          <w:highlight w:val="none"/>
          <w:u w:val="single"/>
          <w:lang w:val="en-US" w:eastAsia="zh-CN"/>
        </w:rPr>
        <w:t>￥xxx</w:t>
      </w:r>
      <w:r>
        <w:rPr>
          <w:rFonts w:hint="eastAsia" w:ascii="仿宋_GB2312" w:hAnsi="仿宋_GB2312" w:eastAsia="仿宋_GB2312" w:cs="仿宋_GB2312"/>
          <w:color w:val="auto"/>
          <w:sz w:val="32"/>
          <w:szCs w:val="32"/>
          <w:highlight w:val="none"/>
          <w:lang w:val="en-US" w:eastAsia="zh-CN"/>
        </w:rPr>
        <w:t>万元（大写：</w:t>
      </w:r>
      <w:r>
        <w:rPr>
          <w:rFonts w:hint="eastAsia" w:ascii="仿宋_GB2312" w:hAnsi="仿宋_GB2312" w:eastAsia="仿宋_GB2312" w:cs="仿宋_GB2312"/>
          <w:color w:val="auto"/>
          <w:sz w:val="32"/>
          <w:szCs w:val="32"/>
          <w:highlight w:val="none"/>
          <w:u w:val="none"/>
          <w:lang w:val="en-US" w:eastAsia="zh-CN"/>
        </w:rPr>
        <w:t>xxx</w:t>
      </w:r>
      <w:r>
        <w:rPr>
          <w:rFonts w:hint="eastAsia" w:ascii="仿宋_GB2312" w:hAnsi="仿宋_GB2312" w:eastAsia="仿宋_GB2312" w:cs="仿宋_GB2312"/>
          <w:color w:val="auto"/>
          <w:sz w:val="32"/>
          <w:szCs w:val="32"/>
          <w:highlight w:val="none"/>
          <w:lang w:val="en-US" w:eastAsia="zh-CN"/>
        </w:rPr>
        <w:t>万元整）作为保证金。本合同签订后保证金自动转为首期预付货款，若成交价高于起拍价，甲方应于本合同签订之日起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工作日内向乙方补足剩余首期预付款。</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2、甲方在首次提货前，</w:t>
      </w:r>
      <w:r>
        <w:rPr>
          <w:rFonts w:hint="eastAsia" w:ascii="仿宋_GB2312" w:hAnsi="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支付乙方第二</w:t>
      </w:r>
      <w:r>
        <w:rPr>
          <w:rFonts w:hint="eastAsia" w:ascii="仿宋_GB2312" w:hAnsi="仿宋_GB2312" w:eastAsia="仿宋_GB2312" w:cs="仿宋_GB2312"/>
          <w:color w:val="auto"/>
          <w:sz w:val="32"/>
          <w:szCs w:val="32"/>
          <w:highlight w:val="none"/>
        </w:rPr>
        <w:t>期预付货款</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金额为</w:t>
      </w:r>
      <w:r>
        <w:rPr>
          <w:rFonts w:hint="eastAsia" w:ascii="仿宋_GB2312" w:hAnsi="仿宋_GB2312" w:eastAsia="仿宋_GB2312" w:cs="仿宋_GB2312"/>
          <w:color w:val="auto"/>
          <w:sz w:val="32"/>
          <w:szCs w:val="32"/>
          <w:highlight w:val="none"/>
          <w:lang w:val="en-US" w:eastAsia="zh-CN"/>
        </w:rPr>
        <w:t>合同价款的</w:t>
      </w:r>
      <w:r>
        <w:rPr>
          <w:rFonts w:hint="eastAsia" w:ascii="仿宋_GB2312" w:hAnsi="仿宋_GB2312" w:cs="仿宋_GB2312"/>
          <w:color w:val="auto"/>
          <w:sz w:val="32"/>
          <w:szCs w:val="32"/>
          <w:highlight w:val="none"/>
          <w:u w:val="single"/>
          <w:lang w:val="en-US" w:eastAsia="zh-CN"/>
        </w:rPr>
        <w:t>2</w:t>
      </w:r>
      <w:r>
        <w:rPr>
          <w:rFonts w:hint="eastAsia" w:ascii="仿宋_GB2312" w:hAnsi="仿宋_GB2312" w:eastAsia="仿宋_GB2312" w:cs="仿宋_GB2312"/>
          <w:color w:val="auto"/>
          <w:sz w:val="32"/>
          <w:szCs w:val="32"/>
          <w:highlight w:val="none"/>
          <w:u w:val="single"/>
          <w:lang w:val="en-US" w:eastAsia="zh-CN"/>
        </w:rPr>
        <w:t>0%</w:t>
      </w:r>
      <w:r>
        <w:rPr>
          <w:rFonts w:hint="eastAsia" w:ascii="仿宋_GB2312" w:hAnsi="仿宋_GB2312" w:eastAsia="仿宋_GB2312" w:cs="仿宋_GB2312"/>
          <w:color w:val="auto"/>
          <w:sz w:val="32"/>
          <w:szCs w:val="32"/>
          <w:highlight w:val="none"/>
          <w:lang w:val="en-US" w:eastAsia="zh-CN"/>
        </w:rPr>
        <w:t>，即</w:t>
      </w:r>
      <w:r>
        <w:rPr>
          <w:rFonts w:hint="eastAsia" w:ascii="仿宋_GB2312" w:hAnsi="仿宋_GB2312" w:eastAsia="仿宋_GB2312" w:cs="仿宋_GB2312"/>
          <w:color w:val="auto"/>
          <w:sz w:val="32"/>
          <w:szCs w:val="32"/>
          <w:highlight w:val="none"/>
          <w:u w:val="single"/>
          <w:lang w:val="en-US" w:eastAsia="zh-CN"/>
        </w:rPr>
        <w:t>￥xxx</w:t>
      </w:r>
      <w:r>
        <w:rPr>
          <w:rFonts w:hint="eastAsia" w:ascii="仿宋_GB2312" w:hAnsi="仿宋_GB2312" w:eastAsia="仿宋_GB2312" w:cs="仿宋_GB2312"/>
          <w:color w:val="auto"/>
          <w:sz w:val="32"/>
          <w:szCs w:val="32"/>
          <w:highlight w:val="none"/>
          <w:lang w:val="en-US" w:eastAsia="zh-CN"/>
        </w:rPr>
        <w:t>万元（大写：xxxx万元整）。</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当甲方提货数量达到50万吨时，甲方应支付乙方全部剩余合同价款，金额为合同价款的</w:t>
      </w:r>
      <w:r>
        <w:rPr>
          <w:rFonts w:hint="eastAsia" w:ascii="仿宋_GB2312" w:hAnsi="仿宋_GB2312" w:cs="仿宋_GB2312"/>
          <w:color w:val="auto"/>
          <w:sz w:val="32"/>
          <w:szCs w:val="32"/>
          <w:highlight w:val="none"/>
          <w:u w:val="single"/>
          <w:lang w:val="en-US" w:eastAsia="zh-CN"/>
        </w:rPr>
        <w:t>30%</w:t>
      </w:r>
      <w:r>
        <w:rPr>
          <w:rFonts w:hint="eastAsia" w:ascii="仿宋_GB2312" w:hAnsi="仿宋_GB2312" w:cs="仿宋_GB2312"/>
          <w:color w:val="auto"/>
          <w:sz w:val="32"/>
          <w:szCs w:val="32"/>
          <w:highlight w:val="none"/>
          <w:lang w:val="en-US" w:eastAsia="zh-CN"/>
        </w:rPr>
        <w:t>，即</w:t>
      </w:r>
      <w:r>
        <w:rPr>
          <w:rFonts w:hint="eastAsia" w:ascii="仿宋_GB2312" w:hAnsi="仿宋_GB2312" w:eastAsia="仿宋_GB2312" w:cs="仿宋_GB2312"/>
          <w:color w:val="auto"/>
          <w:sz w:val="32"/>
          <w:szCs w:val="32"/>
          <w:highlight w:val="none"/>
          <w:u w:val="single"/>
          <w:lang w:val="en-US" w:eastAsia="zh-CN"/>
        </w:rPr>
        <w:t>￥</w:t>
      </w:r>
      <w:r>
        <w:rPr>
          <w:rFonts w:hint="eastAsia" w:ascii="仿宋_GB2312" w:hAnsi="仿宋_GB2312" w:cs="仿宋_GB2312"/>
          <w:color w:val="auto"/>
          <w:sz w:val="32"/>
          <w:szCs w:val="32"/>
          <w:highlight w:val="none"/>
          <w:u w:val="single"/>
          <w:lang w:val="en-US" w:eastAsia="zh-CN"/>
        </w:rPr>
        <w:t>xxx</w:t>
      </w:r>
      <w:r>
        <w:rPr>
          <w:rFonts w:hint="eastAsia" w:ascii="仿宋_GB2312" w:hAnsi="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highlight w:val="none"/>
          <w:lang w:val="en-US" w:eastAsia="zh-CN"/>
        </w:rPr>
        <w:t>元（大写：</w:t>
      </w:r>
      <w:r>
        <w:rPr>
          <w:rFonts w:hint="eastAsia" w:ascii="仿宋_GB2312" w:hAnsi="仿宋_GB2312" w:cs="仿宋_GB2312"/>
          <w:color w:val="auto"/>
          <w:sz w:val="32"/>
          <w:szCs w:val="32"/>
          <w:highlight w:val="none"/>
          <w:lang w:val="en-US" w:eastAsia="zh-CN"/>
        </w:rPr>
        <w:t>xxxx万元整</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。否则乙</w:t>
      </w:r>
      <w:r>
        <w:rPr>
          <w:rFonts w:hint="eastAsia" w:ascii="仿宋_GB2312" w:hAnsi="仿宋_GB2312" w:eastAsia="仿宋_GB2312" w:cs="仿宋_GB2312"/>
          <w:color w:val="auto"/>
          <w:sz w:val="32"/>
          <w:szCs w:val="32"/>
          <w:highlight w:val="none"/>
          <w:lang w:val="en-US" w:eastAsia="zh-CN"/>
        </w:rPr>
        <w:t>方</w:t>
      </w:r>
      <w:r>
        <w:rPr>
          <w:rFonts w:hint="eastAsia" w:ascii="仿宋_GB2312" w:hAnsi="仿宋_GB2312" w:cs="仿宋_GB2312"/>
          <w:color w:val="auto"/>
          <w:sz w:val="32"/>
          <w:szCs w:val="32"/>
          <w:highlight w:val="none"/>
          <w:lang w:val="en-US" w:eastAsia="zh-CN"/>
        </w:rPr>
        <w:t>有权</w:t>
      </w:r>
      <w:r>
        <w:rPr>
          <w:rFonts w:hint="eastAsia" w:ascii="仿宋_GB2312" w:hAnsi="仿宋_GB2312" w:eastAsia="仿宋_GB2312" w:cs="仿宋_GB2312"/>
          <w:color w:val="auto"/>
          <w:sz w:val="32"/>
          <w:szCs w:val="32"/>
          <w:highlight w:val="none"/>
          <w:lang w:val="en-US" w:eastAsia="zh-CN"/>
        </w:rPr>
        <w:t>停止供货。</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合同期间，双方采用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B</w:t>
      </w:r>
      <w:r>
        <w:rPr>
          <w:rFonts w:hint="eastAsia" w:ascii="仿宋_GB2312" w:hAnsi="仿宋_GB2312" w:eastAsia="仿宋_GB2312" w:cs="仿宋_GB2312"/>
          <w:color w:val="auto"/>
          <w:sz w:val="32"/>
          <w:szCs w:val="32"/>
          <w:highlight w:val="none"/>
          <w:u w:val="single"/>
        </w:rPr>
        <w:t xml:space="preserve"> 种方式</w:t>
      </w:r>
      <w:r>
        <w:rPr>
          <w:rFonts w:hint="eastAsia" w:ascii="仿宋_GB2312" w:hAnsi="仿宋_GB2312" w:eastAsia="仿宋_GB2312" w:cs="仿宋_GB2312"/>
          <w:color w:val="auto"/>
          <w:sz w:val="32"/>
          <w:szCs w:val="32"/>
          <w:highlight w:val="none"/>
        </w:rPr>
        <w:t>进行结算。</w:t>
      </w:r>
    </w:p>
    <w:p>
      <w:pPr>
        <w:keepNext w:val="0"/>
        <w:keepLines w:val="0"/>
        <w:pageBreakBefore w:val="0"/>
        <w:kinsoku/>
        <w:wordWrap/>
        <w:overflowPunct/>
        <w:topLinePunct w:val="0"/>
        <w:bidi w:val="0"/>
        <w:adjustRightInd w:val="0"/>
        <w:snapToGrid w:val="0"/>
        <w:spacing w:line="360" w:lineRule="auto"/>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A、以自然月为结算周期，每月</w:t>
      </w:r>
      <w:r>
        <w:rPr>
          <w:rFonts w:hint="eastAsia" w:ascii="仿宋_GB2312" w:hAnsi="仿宋_GB2312" w:eastAsia="仿宋_GB2312" w:cs="仿宋_GB2312"/>
          <w:color w:val="auto"/>
          <w:sz w:val="32"/>
          <w:szCs w:val="32"/>
          <w:highlight w:val="none"/>
          <w:u w:val="single"/>
        </w:rPr>
        <w:t xml:space="preserve"> 最后一日</w:t>
      </w:r>
      <w:r>
        <w:rPr>
          <w:rFonts w:hint="eastAsia" w:ascii="仿宋_GB2312" w:hAnsi="仿宋_GB2312" w:eastAsia="仿宋_GB2312" w:cs="仿宋_GB2312"/>
          <w:color w:val="auto"/>
          <w:sz w:val="32"/>
          <w:szCs w:val="32"/>
          <w:highlight w:val="none"/>
        </w:rPr>
        <w:t>为结算截止日，每月</w:t>
      </w:r>
      <w:r>
        <w:rPr>
          <w:rFonts w:hint="eastAsia" w:ascii="仿宋_GB2312" w:hAnsi="仿宋_GB2312" w:eastAsia="仿宋_GB2312" w:cs="仿宋_GB2312"/>
          <w:color w:val="auto"/>
          <w:sz w:val="32"/>
          <w:szCs w:val="32"/>
          <w:highlight w:val="none"/>
          <w:u w:val="single"/>
        </w:rPr>
        <w:t xml:space="preserve"> 5 </w:t>
      </w:r>
      <w:r>
        <w:rPr>
          <w:rFonts w:hint="eastAsia" w:ascii="仿宋_GB2312" w:hAnsi="仿宋_GB2312" w:eastAsia="仿宋_GB2312" w:cs="仿宋_GB2312"/>
          <w:color w:val="auto"/>
          <w:sz w:val="32"/>
          <w:szCs w:val="32"/>
          <w:highlight w:val="none"/>
        </w:rPr>
        <w:t>日前双方核对甲方系统出具的对账单完成上月实际交易的数量及金额的结算。</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B、每月</w:t>
      </w:r>
      <w:r>
        <w:rPr>
          <w:rFonts w:hint="eastAsia" w:ascii="仿宋_GB2312" w:hAnsi="仿宋_GB2312" w:eastAsia="仿宋_GB2312" w:cs="仿宋_GB2312"/>
          <w:color w:val="auto"/>
          <w:sz w:val="32"/>
          <w:szCs w:val="32"/>
          <w:highlight w:val="none"/>
          <w:u w:val="single"/>
          <w:lang w:val="en-US" w:eastAsia="zh-CN"/>
        </w:rPr>
        <w:t>最后一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日为结算截止日，即</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日至本月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最后一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日为一个结算周期，</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rPr>
        <w:t>日前双方核对</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方系统出具的对账单完成上一结算周期内实际交易的数量及金额的结算。</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合同履行完毕后，若</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方预付款仍有剩余</w:t>
      </w:r>
      <w:r>
        <w:rPr>
          <w:rFonts w:hint="eastAsia" w:ascii="仿宋_GB2312" w:hAnsi="仿宋_GB2312" w:eastAsia="仿宋_GB2312" w:cs="仿宋_GB2312"/>
          <w:color w:val="auto"/>
          <w:sz w:val="32"/>
          <w:szCs w:val="32"/>
          <w:highlight w:val="none"/>
          <w:lang w:val="en-US" w:eastAsia="zh-CN"/>
        </w:rPr>
        <w:t>且不再继续续约</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方于最终结算完毕后30日内无息退还。</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val="en-US" w:eastAsia="zh-CN"/>
        </w:rPr>
        <w:t>使</w:t>
      </w:r>
      <w:r>
        <w:rPr>
          <w:rFonts w:hint="eastAsia" w:ascii="仿宋_GB2312" w:hAnsi="仿宋_GB2312" w:eastAsia="仿宋_GB2312" w:cs="仿宋_GB2312"/>
          <w:color w:val="auto"/>
          <w:sz w:val="32"/>
          <w:szCs w:val="32"/>
          <w:highlight w:val="none"/>
        </w:rPr>
        <w:t>用</w:t>
      </w:r>
      <w:r>
        <w:rPr>
          <w:rFonts w:hint="eastAsia" w:ascii="仿宋_GB2312" w:hAnsi="仿宋_GB2312" w:eastAsia="仿宋_GB2312" w:cs="仿宋_GB2312"/>
          <w:color w:val="auto"/>
          <w:sz w:val="32"/>
          <w:szCs w:val="32"/>
          <w:highlight w:val="none"/>
          <w:lang w:val="en-US" w:eastAsia="zh-CN"/>
        </w:rPr>
        <w:t>银行</w:t>
      </w:r>
      <w:r>
        <w:rPr>
          <w:rFonts w:hint="eastAsia" w:ascii="仿宋_GB2312" w:hAnsi="仿宋_GB2312" w:eastAsia="仿宋_GB2312" w:cs="仿宋_GB2312"/>
          <w:color w:val="auto"/>
          <w:sz w:val="32"/>
          <w:szCs w:val="32"/>
          <w:highlight w:val="none"/>
        </w:rPr>
        <w:t>转账方式预付货款：</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若</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方委托第三方付款或接受第三方代其付款，则须向</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方提供由付款委托、受托双方共同签字盖章确认的书面委托证明。</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、关于发票</w:t>
      </w:r>
    </w:p>
    <w:p>
      <w:pPr>
        <w:keepNext w:val="0"/>
        <w:keepLines w:val="0"/>
        <w:pageBreakBefore w:val="0"/>
        <w:widowControl/>
        <w:kinsoku/>
        <w:wordWrap/>
        <w:overflowPunct/>
        <w:topLinePunct w:val="0"/>
        <w:bidi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方按结算价向</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方提供骨料货物</w:t>
      </w:r>
      <w:r>
        <w:rPr>
          <w:rFonts w:hint="eastAsia" w:ascii="仿宋_GB2312" w:hAnsi="仿宋_GB2312" w:eastAsia="仿宋_GB2312" w:cs="仿宋_GB2312"/>
          <w:b w:val="0"/>
          <w:bCs w:val="0"/>
          <w:color w:val="auto"/>
          <w:sz w:val="32"/>
          <w:szCs w:val="32"/>
          <w:highlight w:val="none"/>
          <w:u w:val="single"/>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增值税专用/普通（二选一）发票，</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方开具发票的要求应在提货之日起的三个月内提出，避免延迟。在合同履行过程中，如国家增值税税率政策发生变化的，则按照新的政策执行。</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若</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方要求开具骨料产品增值税专用发票，则须向</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方提供加盖单位公章含有以下信息的开票资料：</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方名称、纳税人识别号或统一社会信用代码、地址、电话、开户行及账号信息。</w:t>
      </w:r>
      <w:r>
        <w:rPr>
          <w:rFonts w:hint="eastAsia" w:ascii="仿宋_GB2312" w:hAnsi="仿宋_GB2312" w:eastAsia="仿宋_GB2312" w:cs="仿宋_GB2312"/>
          <w:b/>
          <w:color w:val="auto"/>
          <w:sz w:val="32"/>
          <w:szCs w:val="32"/>
          <w:highlight w:val="none"/>
        </w:rPr>
        <w:t>（开具专票</w:t>
      </w:r>
      <w:r>
        <w:rPr>
          <w:rFonts w:hint="eastAsia" w:ascii="仿宋_GB2312" w:hAnsi="仿宋_GB2312" w:eastAsia="仿宋_GB2312" w:cs="仿宋_GB2312"/>
          <w:b/>
          <w:bCs/>
          <w:color w:val="auto"/>
          <w:sz w:val="32"/>
          <w:szCs w:val="32"/>
          <w:highlight w:val="none"/>
        </w:rPr>
        <w:t>时</w:t>
      </w:r>
      <w:r>
        <w:rPr>
          <w:rFonts w:hint="eastAsia" w:ascii="仿宋_GB2312" w:hAnsi="仿宋_GB2312" w:eastAsia="仿宋_GB2312" w:cs="仿宋_GB2312"/>
          <w:b/>
          <w:color w:val="auto"/>
          <w:sz w:val="32"/>
          <w:szCs w:val="32"/>
          <w:highlight w:val="none"/>
        </w:rPr>
        <w:t>选用）</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若</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方（非企业除外）要求开具骨料产品增值税普通发票的，则须向</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方提供加盖单位公章含有以下信息的开票资料：</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方名称、纳税人识别号或统一社会信用代码。</w:t>
      </w:r>
      <w:r>
        <w:rPr>
          <w:rFonts w:hint="eastAsia" w:ascii="仿宋_GB2312" w:hAnsi="仿宋_GB2312" w:eastAsia="仿宋_GB2312" w:cs="仿宋_GB2312"/>
          <w:b/>
          <w:color w:val="auto"/>
          <w:sz w:val="32"/>
          <w:szCs w:val="32"/>
          <w:highlight w:val="none"/>
        </w:rPr>
        <w:t>（开具普票</w:t>
      </w:r>
      <w:r>
        <w:rPr>
          <w:rFonts w:hint="eastAsia" w:ascii="仿宋_GB2312" w:hAnsi="仿宋_GB2312" w:eastAsia="仿宋_GB2312" w:cs="仿宋_GB2312"/>
          <w:b/>
          <w:bCs/>
          <w:color w:val="auto"/>
          <w:sz w:val="32"/>
          <w:szCs w:val="32"/>
          <w:highlight w:val="none"/>
        </w:rPr>
        <w:t>时</w:t>
      </w:r>
      <w:r>
        <w:rPr>
          <w:rFonts w:hint="eastAsia" w:ascii="仿宋_GB2312" w:hAnsi="仿宋_GB2312" w:eastAsia="仿宋_GB2312" w:cs="仿宋_GB2312"/>
          <w:b/>
          <w:color w:val="auto"/>
          <w:sz w:val="32"/>
          <w:szCs w:val="32"/>
          <w:highlight w:val="none"/>
        </w:rPr>
        <w:t>选用）</w:t>
      </w:r>
    </w:p>
    <w:p>
      <w:pPr>
        <w:keepNext w:val="0"/>
        <w:keepLines w:val="0"/>
        <w:pageBreakBefore w:val="0"/>
        <w:kinsoku/>
        <w:wordWrap/>
        <w:overflowPunct/>
        <w:topLinePunct w:val="0"/>
        <w:bidi w:val="0"/>
        <w:adjustRightInd w:val="0"/>
        <w:snapToGrid w:val="0"/>
        <w:spacing w:line="360" w:lineRule="auto"/>
        <w:ind w:firstLine="643"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七、双方权利义务</w:t>
      </w:r>
    </w:p>
    <w:p>
      <w:pPr>
        <w:keepNext w:val="0"/>
        <w:keepLines w:val="0"/>
        <w:pageBreakBefore w:val="0"/>
        <w:kinsoku/>
        <w:wordWrap/>
        <w:overflowPunct/>
        <w:topLinePunct w:val="0"/>
        <w:bidi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方负责将货物装载至</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方提货车辆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场内</w:t>
      </w:r>
      <w:r>
        <w:rPr>
          <w:rFonts w:hint="eastAsia" w:ascii="仿宋_GB2312" w:hAnsi="仿宋_GB2312" w:cs="仿宋_GB2312"/>
          <w:color w:val="auto"/>
          <w:sz w:val="32"/>
          <w:szCs w:val="32"/>
          <w:highlight w:val="none"/>
          <w:lang w:val="en-US" w:eastAsia="zh-CN"/>
        </w:rPr>
        <w:t>装货地点由乙方确定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方提货车辆必须严格遵守</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方相关管理规章制度，并与</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方签订厂内安全协议。</w:t>
      </w:r>
    </w:p>
    <w:p>
      <w:pPr>
        <w:keepNext w:val="0"/>
        <w:keepLines w:val="0"/>
        <w:pageBreakBefore w:val="0"/>
        <w:numPr>
          <w:ilvl w:val="0"/>
          <w:numId w:val="3"/>
        </w:numPr>
        <w:kinsoku/>
        <w:wordWrap/>
        <w:overflowPunct/>
        <w:topLinePunct w:val="0"/>
        <w:bidi w:val="0"/>
        <w:adjustRightInd w:val="0"/>
        <w:snapToGrid w:val="0"/>
        <w:spacing w:line="360" w:lineRule="auto"/>
        <w:ind w:firstLine="482" w:firstLineChars="150"/>
        <w:jc w:val="left"/>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 所有权及风险转移</w:t>
      </w:r>
    </w:p>
    <w:p>
      <w:pPr>
        <w:keepNext w:val="0"/>
        <w:keepLines w:val="0"/>
        <w:pageBreakBefore w:val="0"/>
        <w:numPr>
          <w:ilvl w:val="0"/>
          <w:numId w:val="0"/>
        </w:numPr>
        <w:kinsoku/>
        <w:wordWrap/>
        <w:overflowPunct/>
        <w:topLinePunct w:val="0"/>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1、产品的所有权自</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方交付</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方且</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方已付清货款时转移。</w:t>
      </w:r>
    </w:p>
    <w:p>
      <w:pPr>
        <w:keepNext w:val="0"/>
        <w:keepLines w:val="0"/>
        <w:pageBreakBefore w:val="0"/>
        <w:kinsoku/>
        <w:wordWrap/>
        <w:overflowPunct/>
        <w:topLinePunct w:val="0"/>
        <w:bidi w:val="0"/>
        <w:adjustRightInd w:val="0"/>
        <w:snapToGrid w:val="0"/>
        <w:spacing w:line="360" w:lineRule="auto"/>
        <w:ind w:left="0" w:leftChars="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2、产品的毁损、灭失风险自</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方交付给</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方时发生转移。</w:t>
      </w:r>
      <w:r>
        <w:rPr>
          <w:rFonts w:hint="eastAsia" w:ascii="仿宋_GB2312" w:hAnsi="仿宋_GB2312" w:cs="仿宋_GB2312"/>
          <w:color w:val="auto"/>
          <w:sz w:val="32"/>
          <w:szCs w:val="32"/>
          <w:highlight w:val="none"/>
          <w:lang w:val="en-US" w:eastAsia="zh-CN"/>
        </w:rPr>
        <w:t>所有权保留期间，甲方应妥善保管货物并承担毁损、灭失风险。</w:t>
      </w:r>
    </w:p>
    <w:p>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color w:val="auto"/>
          <w:sz w:val="32"/>
          <w:szCs w:val="32"/>
          <w:highlight w:val="none"/>
        </w:rPr>
        <w:t>第九条  合同的变更</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1、除本合同另有约定外本合同下的任何条款变更或补充,须由甲、乙双方协商解决并签订书面补充协议，补充协议与本合同具有同等法律效力。</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2、合同期间，在对价格进行调整时，采用</w:t>
      </w:r>
      <w:r>
        <w:rPr>
          <w:rFonts w:hint="eastAsia" w:ascii="仿宋_GB2312" w:hAnsi="仿宋_GB2312" w:eastAsia="仿宋_GB2312" w:cs="仿宋_GB2312"/>
          <w:color w:val="auto"/>
          <w:sz w:val="32"/>
          <w:szCs w:val="32"/>
          <w:highlight w:val="none"/>
          <w:u w:val="single"/>
        </w:rPr>
        <w:t>B</w:t>
      </w:r>
      <w:r>
        <w:rPr>
          <w:rFonts w:hint="eastAsia" w:ascii="仿宋_GB2312" w:hAnsi="仿宋_GB2312" w:eastAsia="仿宋_GB2312" w:cs="仿宋_GB2312"/>
          <w:color w:val="auto"/>
          <w:sz w:val="32"/>
          <w:szCs w:val="32"/>
          <w:highlight w:val="none"/>
        </w:rPr>
        <w:t>种形式进行确认。</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A、电子邮件确认（以此方式确认的，邮箱地址、授权</w:t>
      </w:r>
      <w:r>
        <w:rPr>
          <w:rFonts w:hint="eastAsia" w:ascii="仿宋_GB2312" w:hAnsi="仿宋_GB2312" w:eastAsia="仿宋_GB2312" w:cs="仿宋_GB2312"/>
          <w:bCs/>
          <w:color w:val="auto"/>
          <w:sz w:val="32"/>
          <w:szCs w:val="32"/>
          <w:highlight w:val="none"/>
        </w:rPr>
        <w:t>联系人信息、授权时间及授权范围须经甲乙双方事先书面确认）；</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B、价格调整确认函，经甲、乙双方签字并盖章确认（乙方对其通过加盖公司公章、合同章确认的价格调整确认函均予以认可，并承担相应的法律后果）。</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若</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方未</w:t>
      </w:r>
      <w:r>
        <w:rPr>
          <w:rFonts w:hint="eastAsia" w:ascii="仿宋_GB2312" w:hAnsi="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上述约定的调价方式对价格调整进行确认，但自调价起始日起继续向</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方提货的，视为</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方已同意价格调整，甲方有权按照调整后的价格进行结算。</w:t>
      </w:r>
    </w:p>
    <w:p>
      <w:pPr>
        <w:keepNext w:val="0"/>
        <w:keepLines w:val="0"/>
        <w:pageBreakBefore w:val="0"/>
        <w:kinsoku/>
        <w:wordWrap/>
        <w:overflowPunct/>
        <w:topLinePunct w:val="0"/>
        <w:bidi w:val="0"/>
        <w:adjustRightInd w:val="0"/>
        <w:snapToGrid w:val="0"/>
        <w:spacing w:line="360" w:lineRule="auto"/>
        <w:ind w:firstLine="630" w:firstLineChars="196"/>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第十条  通知</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1、本合同履行期间，甲、乙双方所有的通讯联络应以</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val="en-GB"/>
        </w:rPr>
        <w:t>电话/</w:t>
      </w:r>
      <w:r>
        <w:rPr>
          <w:rFonts w:hint="eastAsia" w:ascii="仿宋_GB2312" w:hAnsi="仿宋_GB2312" w:eastAsia="仿宋_GB2312" w:cs="仿宋_GB2312"/>
          <w:color w:val="auto"/>
          <w:sz w:val="32"/>
          <w:szCs w:val="32"/>
          <w:highlight w:val="none"/>
        </w:rPr>
        <w:t>短信/微信/电子邮件在内的方式进行</w:t>
      </w:r>
      <w:r>
        <w:rPr>
          <w:rFonts w:hint="eastAsia" w:ascii="仿宋_GB2312" w:hAnsi="仿宋_GB2312" w:eastAsia="仿宋_GB2312" w:cs="仿宋_GB2312"/>
          <w:color w:val="auto"/>
          <w:sz w:val="32"/>
          <w:szCs w:val="32"/>
          <w:highlight w:val="none"/>
          <w:lang w:val="en-GB"/>
        </w:rPr>
        <w:t>。</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2、任何一方按本合同的规定发出的任何通知或书面通讯，均应以中文书写，并用速递方式迅速发往或寄往对方。</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GB"/>
        </w:rPr>
        <w:t>（1）用电话/</w:t>
      </w:r>
      <w:r>
        <w:rPr>
          <w:rFonts w:hint="eastAsia" w:ascii="仿宋_GB2312" w:hAnsi="仿宋_GB2312" w:eastAsia="仿宋_GB2312" w:cs="仿宋_GB2312"/>
          <w:color w:val="auto"/>
          <w:sz w:val="32"/>
          <w:szCs w:val="32"/>
          <w:highlight w:val="none"/>
        </w:rPr>
        <w:t>短信/微信/电子邮件</w:t>
      </w:r>
      <w:r>
        <w:rPr>
          <w:rFonts w:hint="eastAsia" w:ascii="仿宋_GB2312" w:hAnsi="仿宋_GB2312" w:eastAsia="仿宋_GB2312" w:cs="仿宋_GB2312"/>
          <w:color w:val="auto"/>
          <w:sz w:val="32"/>
          <w:szCs w:val="32"/>
          <w:highlight w:val="none"/>
          <w:lang w:val="en-GB"/>
        </w:rPr>
        <w:t>发出的通知，应在发出通知的3日内</w:t>
      </w:r>
      <w:r>
        <w:rPr>
          <w:rFonts w:hint="eastAsia" w:ascii="仿宋_GB2312" w:hAnsi="仿宋_GB2312" w:eastAsia="仿宋_GB2312" w:cs="仿宋_GB2312"/>
          <w:color w:val="auto"/>
          <w:sz w:val="32"/>
          <w:szCs w:val="32"/>
          <w:highlight w:val="none"/>
        </w:rPr>
        <w:t>补办正式签字及盖章手续的书面通知，并速递给对方；</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 xml:space="preserve">（2）用信函发出的通知，则在邮资付讫的挂号信寄出日（以邮戳为凭）后的第5天，或在送交快递服务机构后的第3天，应视为有效送达； </w:t>
      </w:r>
    </w:p>
    <w:p>
      <w:pPr>
        <w:keepNext w:val="0"/>
        <w:keepLines w:val="0"/>
        <w:pageBreakBefore w:val="0"/>
        <w:kinsoku/>
        <w:wordWrap/>
        <w:overflowPunct/>
        <w:topLinePunct w:val="0"/>
        <w:bidi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rPr>
        <w:t>除甲、乙双方的地址已按照本条的规定书面通知了对方并经对方书面确认的情况，一切通知均须发往甲、乙双方在本合同中载明的地址。</w:t>
      </w:r>
    </w:p>
    <w:p>
      <w:pPr>
        <w:keepNext w:val="0"/>
        <w:keepLines w:val="0"/>
        <w:pageBreakBefore w:val="0"/>
        <w:kinsoku/>
        <w:wordWrap/>
        <w:overflowPunct/>
        <w:topLinePunct w:val="0"/>
        <w:bidi w:val="0"/>
        <w:adjustRightInd w:val="0"/>
        <w:snapToGrid w:val="0"/>
        <w:spacing w:line="360" w:lineRule="auto"/>
        <w:ind w:firstLine="630" w:firstLineChars="196"/>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第十一条  违约责任</w:t>
      </w:r>
    </w:p>
    <w:p>
      <w:pPr>
        <w:keepNext w:val="0"/>
        <w:keepLines w:val="0"/>
        <w:pageBreakBefore w:val="0"/>
        <w:kinsoku/>
        <w:wordWrap/>
        <w:overflowPunct/>
        <w:topLinePunct w:val="0"/>
        <w:bidi w:val="0"/>
        <w:adjustRightInd w:val="0"/>
        <w:snapToGrid w:val="0"/>
        <w:spacing w:line="360" w:lineRule="auto"/>
        <w:ind w:firstLine="646" w:firstLineChars="20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方的违约责任</w:t>
      </w:r>
    </w:p>
    <w:p>
      <w:pPr>
        <w:keepNext w:val="0"/>
        <w:keepLines w:val="0"/>
        <w:pageBreakBefore w:val="0"/>
        <w:kinsoku/>
        <w:wordWrap/>
        <w:overflowPunct/>
        <w:topLinePunct w:val="0"/>
        <w:bidi w:val="0"/>
        <w:adjustRightInd w:val="0"/>
        <w:snapToGrid w:val="0"/>
        <w:spacing w:line="360" w:lineRule="auto"/>
        <w:ind w:firstLine="646" w:firstLineChars="20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方如错误指示到货地点/收货人，或对</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方订单有任何信息错误的，应当承担因此产生的一切相关损失。</w:t>
      </w:r>
    </w:p>
    <w:p>
      <w:pPr>
        <w:keepNext w:val="0"/>
        <w:keepLines w:val="0"/>
        <w:pageBreakBefore w:val="0"/>
        <w:kinsoku/>
        <w:wordWrap/>
        <w:overflowPunct/>
        <w:topLinePunct w:val="0"/>
        <w:bidi w:val="0"/>
        <w:adjustRightInd w:val="0"/>
        <w:snapToGrid w:val="0"/>
        <w:spacing w:line="360" w:lineRule="auto"/>
        <w:ind w:firstLine="627" w:firstLineChars="196"/>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方扰乱</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方生产经营秩序（包括但不限于</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方阻碍</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方进行任何产品生产、销售或发运）的，</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方有权按</w:t>
      </w:r>
      <w:r>
        <w:rPr>
          <w:rFonts w:hint="eastAsia" w:ascii="仿宋_GB2312" w:hAnsi="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元/次向</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方计收违约金，同时有权终止本合同，并要求</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方赔偿由此给</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方造成的损失。</w:t>
      </w:r>
    </w:p>
    <w:p>
      <w:pPr>
        <w:keepNext w:val="0"/>
        <w:keepLines w:val="0"/>
        <w:pageBreakBefore w:val="0"/>
        <w:kinsoku/>
        <w:wordWrap/>
        <w:overflowPunct/>
        <w:topLinePunct w:val="0"/>
        <w:bidi w:val="0"/>
        <w:adjustRightInd w:val="0"/>
        <w:snapToGrid w:val="0"/>
        <w:spacing w:line="360" w:lineRule="auto"/>
        <w:ind w:firstLine="627" w:firstLineChars="196"/>
        <w:jc w:val="left"/>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lang w:val="en-US" w:eastAsia="zh-CN"/>
        </w:rPr>
        <w:t>方不得有恶意竞争行为，从而恶意低价冲击拉低周边石料市场价格，如有发生，视为</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lang w:val="en-US" w:eastAsia="zh-CN"/>
        </w:rPr>
        <w:t>方违约。</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方有权</w:t>
      </w:r>
      <w:r>
        <w:rPr>
          <w:rFonts w:hint="eastAsia" w:ascii="仿宋_GB2312" w:hAnsi="仿宋_GB2312" w:eastAsia="仿宋_GB2312" w:cs="仿宋_GB2312"/>
          <w:color w:val="auto"/>
          <w:sz w:val="32"/>
          <w:szCs w:val="32"/>
          <w:highlight w:val="none"/>
          <w:lang w:val="en-US" w:eastAsia="zh-CN"/>
        </w:rPr>
        <w:t>无条件</w:t>
      </w:r>
      <w:r>
        <w:rPr>
          <w:rFonts w:hint="eastAsia" w:ascii="仿宋_GB2312" w:hAnsi="仿宋_GB2312" w:eastAsia="仿宋_GB2312" w:cs="仿宋_GB2312"/>
          <w:color w:val="auto"/>
          <w:sz w:val="32"/>
          <w:szCs w:val="32"/>
          <w:highlight w:val="none"/>
        </w:rPr>
        <w:t>终止本合同，并要求</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方赔偿由此给</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方造成的损失</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overflowPunct/>
        <w:topLinePunct w:val="0"/>
        <w:bidi w:val="0"/>
        <w:spacing w:line="360" w:lineRule="auto"/>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lang w:val="en-US" w:eastAsia="zh-CN"/>
        </w:rPr>
        <w:t>方在</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lang w:val="en-US" w:eastAsia="zh-CN"/>
        </w:rPr>
        <w:t>方指定地点提货过程中，</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lang w:val="en-US" w:eastAsia="zh-CN"/>
        </w:rPr>
        <w:t>方工作人员及车辆应严格遵守</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lang w:val="en-US" w:eastAsia="zh-CN"/>
        </w:rPr>
        <w:t>方厂区内的规章制度，由于</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lang w:val="en-US" w:eastAsia="zh-CN"/>
        </w:rPr>
        <w:t>方工作人员、车辆等自身原因导致发生安全生产事故，</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lang w:val="en-US" w:eastAsia="zh-CN"/>
        </w:rPr>
        <w:t>方自行承担因此造成的所有损失。</w:t>
      </w:r>
    </w:p>
    <w:p>
      <w:pPr>
        <w:pStyle w:val="2"/>
        <w:keepNext w:val="0"/>
        <w:keepLines w:val="0"/>
        <w:pageBreakBefore w:val="0"/>
        <w:kinsoku/>
        <w:wordWrap/>
        <w:overflowPunct/>
        <w:topLinePunct w:val="0"/>
        <w:bidi w:val="0"/>
        <w:spacing w:line="360" w:lineRule="auto"/>
        <w:jc w:val="left"/>
        <w:textAlignment w:val="auto"/>
        <w:rPr>
          <w:rFonts w:hint="eastAsia" w:ascii="仿宋_GB2312" w:hAnsi="仿宋_GB2312" w:cs="仿宋_GB2312"/>
          <w:color w:val="auto"/>
          <w:sz w:val="32"/>
          <w:szCs w:val="32"/>
          <w:highlight w:val="none"/>
          <w:u w:val="none"/>
          <w:lang w:val="en-US" w:eastAsia="zh-CN"/>
        </w:rPr>
      </w:pPr>
      <w:r>
        <w:rPr>
          <w:rFonts w:hint="eastAsia" w:ascii="仿宋_GB2312" w:hAnsi="仿宋_GB2312" w:cs="仿宋_GB2312"/>
          <w:color w:val="auto"/>
          <w:sz w:val="32"/>
          <w:szCs w:val="32"/>
          <w:highlight w:val="none"/>
          <w:lang w:val="en-US" w:eastAsia="zh-CN"/>
        </w:rPr>
        <w:t>（5）若甲方未在收到乙方提货通知后</w:t>
      </w:r>
      <w:r>
        <w:rPr>
          <w:rFonts w:hint="eastAsia" w:ascii="仿宋_GB2312" w:hAnsi="仿宋_GB2312" w:cs="仿宋_GB2312"/>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lang w:val="en-US" w:eastAsia="zh-CN"/>
        </w:rPr>
        <w:t>个工作日内提货且未经乙方书面同意延迟提货，视为甲方延迟提货，乙方不承担逾期责任。若因甲方原因其未按约定时间提货导致乙方交货延迟，每逾期</w:t>
      </w:r>
      <w:r>
        <w:rPr>
          <w:rFonts w:hint="eastAsia" w:ascii="仿宋_GB2312" w:hAnsi="仿宋_GB2312" w:cs="仿宋_GB2312"/>
          <w:color w:val="auto"/>
          <w:sz w:val="32"/>
          <w:szCs w:val="32"/>
          <w:highlight w:val="none"/>
          <w:u w:val="single"/>
          <w:lang w:val="en-US" w:eastAsia="zh-CN"/>
        </w:rPr>
        <w:t xml:space="preserve"> 1 </w:t>
      </w:r>
      <w:r>
        <w:rPr>
          <w:rFonts w:hint="eastAsia" w:ascii="仿宋_GB2312" w:hAnsi="仿宋_GB2312" w:cs="仿宋_GB2312"/>
          <w:color w:val="auto"/>
          <w:sz w:val="32"/>
          <w:szCs w:val="32"/>
          <w:highlight w:val="none"/>
          <w:lang w:val="en-US" w:eastAsia="zh-CN"/>
        </w:rPr>
        <w:t>个自然月，应向乙方支付逾期提货部分货值</w:t>
      </w:r>
      <w:r>
        <w:rPr>
          <w:rFonts w:hint="eastAsia" w:ascii="仿宋_GB2312" w:hAnsi="仿宋_GB2312" w:cs="仿宋_GB2312"/>
          <w:color w:val="auto"/>
          <w:sz w:val="32"/>
          <w:szCs w:val="32"/>
          <w:highlight w:val="none"/>
          <w:u w:val="single"/>
          <w:lang w:val="en-US" w:eastAsia="zh-CN"/>
        </w:rPr>
        <w:t xml:space="preserve"> 1% </w:t>
      </w:r>
      <w:r>
        <w:rPr>
          <w:rFonts w:hint="eastAsia" w:ascii="仿宋_GB2312" w:hAnsi="仿宋_GB2312" w:cs="仿宋_GB2312"/>
          <w:color w:val="auto"/>
          <w:sz w:val="32"/>
          <w:szCs w:val="32"/>
          <w:highlight w:val="none"/>
          <w:u w:val="none"/>
          <w:lang w:val="en-US" w:eastAsia="zh-CN"/>
        </w:rPr>
        <w:t>的违约金。逾期超过</w:t>
      </w:r>
      <w:r>
        <w:rPr>
          <w:rFonts w:hint="eastAsia" w:ascii="仿宋_GB2312" w:hAnsi="仿宋_GB2312" w:cs="仿宋_GB2312"/>
          <w:color w:val="auto"/>
          <w:sz w:val="32"/>
          <w:szCs w:val="32"/>
          <w:highlight w:val="none"/>
          <w:u w:val="single"/>
          <w:lang w:val="en-US" w:eastAsia="zh-CN"/>
        </w:rPr>
        <w:t xml:space="preserve"> 1 </w:t>
      </w:r>
      <w:r>
        <w:rPr>
          <w:rFonts w:hint="eastAsia" w:ascii="仿宋_GB2312" w:hAnsi="仿宋_GB2312" w:cs="仿宋_GB2312"/>
          <w:color w:val="auto"/>
          <w:sz w:val="32"/>
          <w:szCs w:val="32"/>
          <w:highlight w:val="none"/>
          <w:u w:val="none"/>
          <w:lang w:val="en-US" w:eastAsia="zh-CN"/>
        </w:rPr>
        <w:t>个月的，乙方有权解除合同，并要求甲方赔偿乙方因此遭受的全部损失，包括但不限于已发生的备货成本、货物的仓储费用、保管费用、资金占用成本等。若乙方选择继续履行合同，甲方除应支付上述违约金外，还应承担自逾期之日起至实际提货之日止货物的仓储费用（每日按照逾期提货值的0.05%计算）。</w:t>
      </w:r>
    </w:p>
    <w:p>
      <w:pPr>
        <w:pStyle w:val="2"/>
        <w:keepNext w:val="0"/>
        <w:keepLines w:val="0"/>
        <w:pageBreakBefore w:val="0"/>
        <w:kinsoku/>
        <w:wordWrap/>
        <w:overflowPunct/>
        <w:topLinePunct w:val="0"/>
        <w:bidi w:val="0"/>
        <w:spacing w:line="360" w:lineRule="auto"/>
        <w:jc w:val="left"/>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（6）若甲方未按约定补足保证金差额，视为甲方违约， 乙方有权要求甲方按成交价的 10% 支付违约金，已支付的保 证金不予退还。若甲方未按约补足保证金差额超过 30 日，乙 方有权单方解除合同，并要求甲方赔偿包括但不限于重新拍卖 差价损失、律师费、诉讼费等全部实际损失。</w:t>
      </w:r>
    </w:p>
    <w:p>
      <w:pPr>
        <w:pStyle w:val="2"/>
        <w:keepNext w:val="0"/>
        <w:keepLines w:val="0"/>
        <w:pageBreakBefore w:val="0"/>
        <w:kinsoku/>
        <w:wordWrap/>
        <w:overflowPunct/>
        <w:topLinePunct w:val="0"/>
        <w:bidi w:val="0"/>
        <w:spacing w:line="360" w:lineRule="auto"/>
        <w:jc w:val="left"/>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（7）若甲方逾期支付货款的，乙方有权暂停供货，并要 求甲方支付每逾期 1 日应付未付金额的 0.05% 的违约金；逾 期超过 30 日的，乙方可解除合同，并要求甲方赔偿剩余货款 的 20% 作为损失。</w:t>
      </w:r>
    </w:p>
    <w:p>
      <w:pPr>
        <w:keepNext w:val="0"/>
        <w:keepLines w:val="0"/>
        <w:pageBreakBefore w:val="0"/>
        <w:kinsoku/>
        <w:wordWrap/>
        <w:overflowPunct/>
        <w:topLinePunct w:val="0"/>
        <w:bidi w:val="0"/>
        <w:adjustRightInd w:val="0"/>
        <w:snapToGrid w:val="0"/>
        <w:spacing w:line="360" w:lineRule="auto"/>
        <w:ind w:firstLine="646" w:firstLineChars="20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方的违约责任</w:t>
      </w:r>
    </w:p>
    <w:p>
      <w:pPr>
        <w:keepNext w:val="0"/>
        <w:keepLines w:val="0"/>
        <w:pageBreakBefore w:val="0"/>
        <w:kinsoku/>
        <w:wordWrap/>
        <w:overflowPunct/>
        <w:topLinePunct w:val="0"/>
        <w:bidi w:val="0"/>
        <w:adjustRightInd w:val="0"/>
        <w:snapToGrid w:val="0"/>
        <w:spacing w:line="360" w:lineRule="auto"/>
        <w:ind w:firstLine="646" w:firstLineChars="20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方交付的产品品种、规格、质量若有不符合合同约定的，如</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方同意使用的，应按质论价；</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方不能使用的，应视具体情况由</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方负责更换、退货、并承担相应的费用支出。</w:t>
      </w:r>
    </w:p>
    <w:p>
      <w:pPr>
        <w:keepNext w:val="0"/>
        <w:keepLines w:val="0"/>
        <w:pageBreakBefore w:val="0"/>
        <w:kinsoku/>
        <w:wordWrap/>
        <w:overflowPunct/>
        <w:topLinePunct w:val="0"/>
        <w:bidi w:val="0"/>
        <w:adjustRightInd w:val="0"/>
        <w:snapToGrid w:val="0"/>
        <w:spacing w:line="360" w:lineRule="auto"/>
        <w:ind w:firstLine="646" w:firstLineChars="202"/>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val="en-US" w:eastAsia="zh-CN"/>
        </w:rPr>
        <w:t>逾期交货且逾期时间达到</w:t>
      </w:r>
      <w:r>
        <w:rPr>
          <w:rFonts w:hint="eastAsia" w:ascii="仿宋_GB2312" w:hAnsi="仿宋_GB2312" w:eastAsia="仿宋_GB2312" w:cs="仿宋_GB2312"/>
          <w:color w:val="auto"/>
          <w:sz w:val="32"/>
          <w:szCs w:val="32"/>
          <w:highlight w:val="none"/>
          <w:u w:val="single"/>
          <w:lang w:val="en-US" w:eastAsia="zh-CN"/>
        </w:rPr>
        <w:t xml:space="preserve"> 1 </w:t>
      </w:r>
      <w:r>
        <w:rPr>
          <w:rFonts w:hint="eastAsia" w:ascii="仿宋_GB2312" w:hAnsi="仿宋_GB2312" w:eastAsia="仿宋_GB2312" w:cs="仿宋_GB2312"/>
          <w:color w:val="auto"/>
          <w:sz w:val="32"/>
          <w:szCs w:val="32"/>
          <w:highlight w:val="none"/>
          <w:u w:val="none"/>
          <w:lang w:val="en-US" w:eastAsia="zh-CN"/>
        </w:rPr>
        <w:t>个自然月，应支付</w:t>
      </w:r>
      <w:r>
        <w:rPr>
          <w:rFonts w:hint="eastAsia" w:ascii="仿宋_GB2312" w:hAnsi="仿宋_GB2312" w:cs="仿宋_GB2312"/>
          <w:color w:val="auto"/>
          <w:sz w:val="32"/>
          <w:szCs w:val="32"/>
          <w:highlight w:val="none"/>
          <w:u w:val="none"/>
          <w:lang w:val="en-US" w:eastAsia="zh-CN"/>
        </w:rPr>
        <w:t>逾期交货货值</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u w:val="single"/>
          <w:lang w:val="en-US" w:eastAsia="zh-CN"/>
        </w:rPr>
        <w:t>0.05</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的违约金，后续每逾期</w:t>
      </w:r>
      <w:r>
        <w:rPr>
          <w:rFonts w:hint="eastAsia" w:ascii="仿宋_GB2312" w:hAnsi="仿宋_GB2312" w:eastAsia="仿宋_GB2312" w:cs="仿宋_GB2312"/>
          <w:color w:val="auto"/>
          <w:sz w:val="32"/>
          <w:szCs w:val="32"/>
          <w:highlight w:val="none"/>
          <w:u w:val="single"/>
          <w:lang w:val="en-US" w:eastAsia="zh-CN"/>
        </w:rPr>
        <w:t xml:space="preserve"> 1 </w:t>
      </w:r>
      <w:r>
        <w:rPr>
          <w:rFonts w:hint="eastAsia" w:ascii="仿宋_GB2312" w:hAnsi="仿宋_GB2312" w:eastAsia="仿宋_GB2312" w:cs="仿宋_GB2312"/>
          <w:color w:val="auto"/>
          <w:sz w:val="32"/>
          <w:szCs w:val="32"/>
          <w:highlight w:val="none"/>
          <w:u w:val="none"/>
          <w:lang w:val="en-US" w:eastAsia="zh-CN"/>
        </w:rPr>
        <w:t>个自然月需承担</w:t>
      </w:r>
      <w:r>
        <w:rPr>
          <w:rFonts w:hint="eastAsia" w:ascii="仿宋_GB2312" w:hAnsi="仿宋_GB2312" w:cs="仿宋_GB2312"/>
          <w:color w:val="auto"/>
          <w:sz w:val="32"/>
          <w:szCs w:val="32"/>
          <w:highlight w:val="none"/>
          <w:u w:val="none"/>
          <w:lang w:val="en-US" w:eastAsia="zh-CN"/>
        </w:rPr>
        <w:t>逾期交货货值</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cs="仿宋_GB2312"/>
          <w:color w:val="auto"/>
          <w:sz w:val="32"/>
          <w:szCs w:val="32"/>
          <w:highlight w:val="none"/>
          <w:u w:val="single"/>
          <w:lang w:val="en-US" w:eastAsia="zh-CN"/>
        </w:rPr>
        <w:t>0.05</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的违约金</w:t>
      </w:r>
      <w:r>
        <w:rPr>
          <w:rFonts w:hint="eastAsia" w:ascii="仿宋_GB2312" w:hAnsi="仿宋_GB2312" w:cs="仿宋_GB2312"/>
          <w:color w:val="auto"/>
          <w:sz w:val="32"/>
          <w:szCs w:val="32"/>
          <w:highlight w:val="none"/>
          <w:u w:val="none"/>
          <w:lang w:val="en-US" w:eastAsia="zh-CN"/>
        </w:rPr>
        <w:t>，但违约金累计不超过逾期交货货值的5%。</w:t>
      </w:r>
    </w:p>
    <w:p>
      <w:pPr>
        <w:keepNext w:val="0"/>
        <w:keepLines w:val="0"/>
        <w:pageBreakBefore w:val="0"/>
        <w:kinsoku/>
        <w:wordWrap/>
        <w:overflowPunct/>
        <w:topLinePunct w:val="0"/>
        <w:bidi w:val="0"/>
        <w:adjustRightInd w:val="0"/>
        <w:snapToGrid w:val="0"/>
        <w:spacing w:line="360" w:lineRule="auto"/>
        <w:ind w:firstLine="630" w:firstLineChars="196"/>
        <w:jc w:val="left"/>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第十二条  免责条款</w:t>
      </w:r>
    </w:p>
    <w:p>
      <w:pPr>
        <w:keepNext w:val="0"/>
        <w:keepLines w:val="0"/>
        <w:pageBreakBefore w:val="0"/>
        <w:kinsoku/>
        <w:wordWrap/>
        <w:overflowPunct/>
        <w:topLinePunct w:val="0"/>
        <w:bidi w:val="0"/>
        <w:adjustRightInd w:val="0"/>
        <w:snapToGrid w:val="0"/>
        <w:spacing w:line="360" w:lineRule="auto"/>
        <w:ind w:firstLine="627" w:firstLineChars="196"/>
        <w:jc w:val="lef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在履行本合同的过程中，由于出现不可抗力的事由，导致本合同不能履行时，一方应当在事发后72小时内通知对方并附政府主管部门出具的证明文件，方可在不可抗力影响范围内免除其不履行部分的违约责任。</w:t>
      </w:r>
    </w:p>
    <w:p>
      <w:pPr>
        <w:pStyle w:val="2"/>
        <w:keepNext w:val="0"/>
        <w:keepLines w:val="0"/>
        <w:pageBreakBefore w:val="0"/>
        <w:kinsoku/>
        <w:wordWrap/>
        <w:overflowPunct/>
        <w:topLinePunct w:val="0"/>
        <w:bidi w:val="0"/>
        <w:spacing w:line="360" w:lineRule="auto"/>
        <w:jc w:val="left"/>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2、因政府审批延迟、甲方未配合提供手续所需材料导致的交货延迟，乙方可免除相应责任。</w:t>
      </w:r>
    </w:p>
    <w:p>
      <w:pPr>
        <w:pStyle w:val="2"/>
        <w:keepNext w:val="0"/>
        <w:keepLines w:val="0"/>
        <w:pageBreakBefore w:val="0"/>
        <w:numPr>
          <w:ilvl w:val="0"/>
          <w:numId w:val="0"/>
        </w:numPr>
        <w:kinsoku/>
        <w:wordWrap/>
        <w:overflowPunct/>
        <w:topLinePunct w:val="0"/>
        <w:bidi w:val="0"/>
        <w:spacing w:line="360" w:lineRule="auto"/>
        <w:ind w:firstLine="640" w:firstLineChars="200"/>
        <w:jc w:val="left"/>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3、如因甲方提货影响乙方项目总包单位施工进度，乙方有权暂缓供货并不承担任何责任，甲方有权要求退还剩余资金（无息）。</w:t>
      </w:r>
    </w:p>
    <w:p>
      <w:pPr>
        <w:pStyle w:val="2"/>
        <w:keepNext w:val="0"/>
        <w:keepLines w:val="0"/>
        <w:pageBreakBefore w:val="0"/>
        <w:numPr>
          <w:ilvl w:val="0"/>
          <w:numId w:val="0"/>
        </w:numPr>
        <w:kinsoku/>
        <w:wordWrap/>
        <w:overflowPunct/>
        <w:topLinePunct w:val="0"/>
        <w:bidi w:val="0"/>
        <w:spacing w:line="360" w:lineRule="auto"/>
        <w:ind w:firstLine="640" w:firstLineChars="200"/>
        <w:jc w:val="left"/>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4、因竞拍程序导致的交货延迟，乙方不承担违约责任。</w:t>
      </w:r>
    </w:p>
    <w:p>
      <w:pPr>
        <w:keepNext w:val="0"/>
        <w:keepLines w:val="0"/>
        <w:pageBreakBefore w:val="0"/>
        <w:kinsoku/>
        <w:wordWrap/>
        <w:overflowPunct/>
        <w:topLinePunct w:val="0"/>
        <w:bidi w:val="0"/>
        <w:adjustRightInd w:val="0"/>
        <w:snapToGrid w:val="0"/>
        <w:spacing w:line="360" w:lineRule="auto"/>
        <w:ind w:firstLine="643" w:firstLineChars="200"/>
        <w:jc w:val="left"/>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第十三条  争议解决</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因本合同所发生的任何争议，由甲、乙双方协商解决；若协商不成，应向</w:t>
      </w:r>
      <w:r>
        <w:rPr>
          <w:rFonts w:hint="eastAsia" w:ascii="仿宋_GB2312" w:hAnsi="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方所在地有管辖权的人民法院诉讼。</w:t>
      </w:r>
    </w:p>
    <w:p>
      <w:pPr>
        <w:keepNext w:val="0"/>
        <w:keepLines w:val="0"/>
        <w:pageBreakBefore w:val="0"/>
        <w:kinsoku/>
        <w:wordWrap/>
        <w:overflowPunct/>
        <w:topLinePunct w:val="0"/>
        <w:bidi w:val="0"/>
        <w:adjustRightInd w:val="0"/>
        <w:snapToGrid w:val="0"/>
        <w:spacing w:line="360" w:lineRule="auto"/>
        <w:ind w:firstLine="643" w:firstLineChars="200"/>
        <w:jc w:val="left"/>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第十四条  其他约定事项</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、本合同未尽事项，由甲、乙双方协商并签订书面补充合同/协议，补充合同/协议与本合同具有同等效力。</w:t>
      </w:r>
    </w:p>
    <w:p>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、本合同</w:t>
      </w:r>
      <w:r>
        <w:rPr>
          <w:rFonts w:hint="eastAsia" w:ascii="仿宋_GB2312" w:hAnsi="仿宋_GB2312" w:eastAsia="仿宋_GB2312" w:cs="仿宋_GB2312"/>
          <w:color w:val="auto"/>
          <w:sz w:val="32"/>
          <w:szCs w:val="32"/>
          <w:highlight w:val="none"/>
          <w:u w:val="single"/>
        </w:rPr>
        <w:t>壹式</w:t>
      </w:r>
      <w:r>
        <w:rPr>
          <w:rFonts w:hint="eastAsia" w:ascii="仿宋_GB2312" w:hAnsi="仿宋_GB2312" w:cs="仿宋_GB2312"/>
          <w:color w:val="auto"/>
          <w:sz w:val="32"/>
          <w:szCs w:val="32"/>
          <w:highlight w:val="none"/>
          <w:u w:val="single"/>
          <w:lang w:val="en-US" w:eastAsia="zh-CN"/>
        </w:rPr>
        <w:t>陆</w:t>
      </w:r>
      <w:r>
        <w:rPr>
          <w:rFonts w:hint="eastAsia" w:ascii="仿宋_GB2312" w:hAnsi="仿宋_GB2312" w:eastAsia="仿宋_GB2312" w:cs="仿宋_GB2312"/>
          <w:color w:val="auto"/>
          <w:sz w:val="32"/>
          <w:szCs w:val="32"/>
          <w:highlight w:val="none"/>
          <w:u w:val="single"/>
        </w:rPr>
        <w:t>份</w:t>
      </w:r>
      <w:r>
        <w:rPr>
          <w:rFonts w:hint="eastAsia" w:ascii="仿宋_GB2312" w:hAnsi="仿宋_GB2312" w:eastAsia="仿宋_GB2312" w:cs="仿宋_GB2312"/>
          <w:color w:val="auto"/>
          <w:sz w:val="32"/>
          <w:szCs w:val="32"/>
          <w:highlight w:val="none"/>
        </w:rPr>
        <w:t>，甲方执</w:t>
      </w:r>
      <w:r>
        <w:rPr>
          <w:rFonts w:hint="eastAsia" w:ascii="仿宋_GB2312" w:hAnsi="仿宋_GB2312" w:cs="仿宋_GB2312"/>
          <w:color w:val="auto"/>
          <w:sz w:val="32"/>
          <w:szCs w:val="32"/>
          <w:highlight w:val="none"/>
          <w:u w:val="single"/>
          <w:lang w:val="en-US" w:eastAsia="zh-CN"/>
        </w:rPr>
        <w:t>叁</w:t>
      </w:r>
      <w:r>
        <w:rPr>
          <w:rFonts w:hint="eastAsia" w:ascii="仿宋_GB2312" w:hAnsi="仿宋_GB2312" w:eastAsia="仿宋_GB2312" w:cs="仿宋_GB2312"/>
          <w:color w:val="auto"/>
          <w:sz w:val="32"/>
          <w:szCs w:val="32"/>
          <w:highlight w:val="none"/>
          <w:u w:val="single"/>
        </w:rPr>
        <w:t>份</w:t>
      </w:r>
      <w:r>
        <w:rPr>
          <w:rFonts w:hint="eastAsia" w:ascii="仿宋_GB2312" w:hAnsi="仿宋_GB2312" w:eastAsia="仿宋_GB2312" w:cs="仿宋_GB2312"/>
          <w:color w:val="auto"/>
          <w:sz w:val="32"/>
          <w:szCs w:val="32"/>
          <w:highlight w:val="none"/>
        </w:rPr>
        <w:t>，乙方执</w:t>
      </w:r>
      <w:r>
        <w:rPr>
          <w:rFonts w:hint="eastAsia" w:ascii="仿宋_GB2312" w:hAnsi="仿宋_GB2312" w:cs="仿宋_GB2312"/>
          <w:color w:val="auto"/>
          <w:sz w:val="32"/>
          <w:szCs w:val="32"/>
          <w:highlight w:val="none"/>
          <w:u w:val="single"/>
          <w:lang w:val="en-US" w:eastAsia="zh-CN"/>
        </w:rPr>
        <w:t>叁</w:t>
      </w:r>
      <w:r>
        <w:rPr>
          <w:rFonts w:hint="eastAsia" w:ascii="仿宋_GB2312" w:hAnsi="仿宋_GB2312" w:eastAsia="仿宋_GB2312" w:cs="仿宋_GB2312"/>
          <w:color w:val="auto"/>
          <w:sz w:val="32"/>
          <w:szCs w:val="32"/>
          <w:highlight w:val="none"/>
          <w:u w:val="single"/>
        </w:rPr>
        <w:t>份</w:t>
      </w:r>
      <w:r>
        <w:rPr>
          <w:rFonts w:hint="eastAsia" w:ascii="仿宋_GB2312" w:hAnsi="仿宋_GB2312" w:eastAsia="仿宋_GB2312" w:cs="仿宋_GB2312"/>
          <w:color w:val="auto"/>
          <w:sz w:val="32"/>
          <w:szCs w:val="32"/>
          <w:highlight w:val="none"/>
        </w:rPr>
        <w:t>，具有同等法律效力。本合同自甲、乙双方签字并盖公章或合同章后生效。</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（本页无正文）</w:t>
      </w:r>
      <w:r>
        <w:rPr>
          <w:rFonts w:hint="eastAsia" w:ascii="仿宋_GB2312" w:hAnsi="仿宋_GB2312" w:eastAsia="仿宋_GB2312" w:cs="仿宋_GB2312"/>
          <w:color w:val="auto"/>
          <w:sz w:val="32"/>
          <w:szCs w:val="32"/>
          <w:highlight w:val="none"/>
          <w:lang w:val="en-US" w:eastAsia="zh-CN"/>
        </w:rPr>
        <w:br w:type="page"/>
      </w:r>
    </w:p>
    <w:p>
      <w:pPr>
        <w:spacing w:line="276" w:lineRule="auto"/>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（盖章页，无正文）</w:t>
      </w: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tbl>
      <w:tblPr>
        <w:tblStyle w:val="6"/>
        <w:tblpPr w:leftFromText="180" w:rightFromText="180" w:vertAnchor="text" w:horzAnchor="page" w:tblpX="1462" w:tblpY="342"/>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val="0"/>
              <w:jc w:val="center"/>
              <w:rPr>
                <w:rFonts w:ascii="宋体" w:hAnsi="宋体" w:eastAsia="宋体" w:cs="Times New Roman"/>
                <w:snapToGrid/>
                <w:color w:val="auto"/>
                <w:sz w:val="24"/>
                <w:szCs w:val="24"/>
                <w:highlight w:val="none"/>
                <w:lang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b/>
                <w:snapToGrid/>
                <w:color w:val="auto"/>
                <w:sz w:val="24"/>
                <w:szCs w:val="24"/>
                <w:highlight w:val="none"/>
                <w:lang w:eastAsia="zh-CN"/>
              </w:rPr>
            </w:pPr>
            <w:r>
              <w:rPr>
                <w:rFonts w:hint="eastAsia" w:ascii="宋体" w:hAnsi="宋体" w:eastAsia="宋体" w:cs="Times New Roman"/>
                <w:b/>
                <w:snapToGrid/>
                <w:color w:val="auto"/>
                <w:sz w:val="24"/>
                <w:szCs w:val="24"/>
                <w:highlight w:val="none"/>
                <w:lang w:eastAsia="zh-CN"/>
              </w:rPr>
              <w:t>甲方</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b/>
                <w:snapToGrid/>
                <w:color w:val="auto"/>
                <w:sz w:val="24"/>
                <w:szCs w:val="24"/>
                <w:highlight w:val="none"/>
                <w:lang w:eastAsia="zh-CN"/>
              </w:rPr>
            </w:pPr>
            <w:r>
              <w:rPr>
                <w:rFonts w:hint="eastAsia" w:ascii="宋体" w:hAnsi="宋体" w:eastAsia="宋体" w:cs="Times New Roman"/>
                <w:b/>
                <w:snapToGrid/>
                <w:color w:val="auto"/>
                <w:sz w:val="24"/>
                <w:szCs w:val="24"/>
                <w:highlight w:val="none"/>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单位名称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sz w:val="24"/>
                <w:szCs w:val="24"/>
                <w:highlight w:val="none"/>
                <w:lang w:eastAsia="zh-CN"/>
              </w:rPr>
              <w:t>海垦（儋州）新型环保建材有限公司（盖章）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单位地址</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snapToGrid/>
                <w:color w:val="auto"/>
                <w:sz w:val="24"/>
                <w:highlight w:val="none"/>
              </w:rPr>
              <w:t>海南省儋州市王五镇深儋合作区服务中心1-142号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电   话</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default"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sz w:val="24"/>
                <w:szCs w:val="24"/>
                <w:highlight w:val="none"/>
                <w:lang w:eastAsia="zh-CN"/>
              </w:rPr>
              <w:t>0898-</w:t>
            </w:r>
            <w:r>
              <w:rPr>
                <w:rFonts w:hint="eastAsia" w:ascii="宋体" w:hAnsi="宋体" w:eastAsia="宋体" w:cs="Times New Roman"/>
                <w:snapToGrid/>
                <w:color w:val="auto"/>
                <w:sz w:val="24"/>
                <w:szCs w:val="24"/>
                <w:highlight w:val="none"/>
                <w:lang w:val="en-US" w:eastAsia="zh-CN"/>
              </w:rPr>
              <w:t>66623215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开户银行</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default" w:ascii="宋体" w:hAnsi="宋体" w:eastAsia="宋体" w:cs="Times New Roman"/>
                <w:snapToGrid/>
                <w:color w:val="auto"/>
                <w:sz w:val="24"/>
                <w:szCs w:val="24"/>
                <w:highlight w:val="none"/>
                <w:lang w:val="en-US"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sz w:val="24"/>
                <w:szCs w:val="24"/>
                <w:highlight w:val="none"/>
                <w:lang w:val="en-US" w:eastAsia="zh-CN"/>
              </w:rPr>
              <w:t xml:space="preserve">海南银行股份有限公司洋浦支行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银行账号</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default" w:ascii="宋体" w:hAnsi="宋体" w:eastAsia="宋体" w:cs="Times New Roman"/>
                <w:snapToGrid/>
                <w:color w:val="auto"/>
                <w:sz w:val="24"/>
                <w:szCs w:val="24"/>
                <w:highlight w:val="none"/>
                <w:lang w:val="en-US"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snapToGrid/>
                <w:color w:val="auto"/>
                <w:sz w:val="24"/>
                <w:highlight w:val="none"/>
              </w:rPr>
              <w:t>6005861100017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default" w:ascii="宋体" w:hAnsi="宋体" w:eastAsia="宋体" w:cs="Times New Roman"/>
                <w:snapToGrid/>
                <w:color w:val="auto"/>
                <w:sz w:val="24"/>
                <w:szCs w:val="24"/>
                <w:highlight w:val="none"/>
                <w:lang w:val="en-US" w:eastAsia="zh-CN"/>
              </w:rPr>
            </w:pPr>
            <w:r>
              <w:rPr>
                <w:rFonts w:hint="eastAsia" w:ascii="宋体" w:hAnsi="宋体" w:eastAsia="宋体" w:cs="Times New Roman"/>
                <w:snapToGrid/>
                <w:color w:val="auto"/>
                <w:sz w:val="24"/>
                <w:szCs w:val="24"/>
                <w:highlight w:val="none"/>
                <w:lang w:val="en-US" w:eastAsia="zh-CN"/>
              </w:rPr>
              <w:t>统一社会信用代码</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default" w:ascii="宋体" w:hAnsi="宋体" w:eastAsia="宋体" w:cs="Times New Roman"/>
                <w:snapToGrid/>
                <w:color w:val="auto"/>
                <w:sz w:val="24"/>
                <w:szCs w:val="24"/>
                <w:highlight w:val="none"/>
                <w:lang w:val="en-US" w:eastAsia="zh-CN"/>
              </w:rPr>
            </w:pP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sz w:val="24"/>
                <w:szCs w:val="24"/>
                <w:highlight w:val="none"/>
                <w:lang w:val="en-US" w:eastAsia="zh-CN"/>
              </w:rPr>
              <w:t>91460400MACPTPWJ7B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法定代表人或委托代理人</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val="en-US" w:eastAsia="zh-CN"/>
              </w:rPr>
              <w:t xml:space="preserve"> </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ind w:left="0" w:leftChars="0" w:firstLine="0" w:firstLineChars="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签订日期</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年    月    日</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Times New Roman"/>
                <w:snapToGrid/>
                <w:color w:val="auto"/>
                <w:sz w:val="24"/>
                <w:szCs w:val="24"/>
                <w:highlight w:val="none"/>
                <w:lang w:eastAsia="zh-CN"/>
              </w:rPr>
            </w:pPr>
            <w:r>
              <w:rPr>
                <w:rFonts w:hint="eastAsia" w:ascii="宋体" w:hAnsi="宋体" w:eastAsia="宋体" w:cs="Times New Roman"/>
                <w:snapToGrid/>
                <w:color w:val="auto"/>
                <w:sz w:val="24"/>
                <w:szCs w:val="24"/>
                <w:highlight w:val="none"/>
                <w:lang w:eastAsia="zh-CN"/>
              </w:rPr>
              <w:t>年    月    日</w:t>
            </w:r>
          </w:p>
        </w:tc>
      </w:tr>
    </w:tbl>
    <w:p>
      <w:pPr>
        <w:spacing w:line="276" w:lineRule="auto"/>
        <w:ind w:firstLine="0" w:firstLineChars="0"/>
        <w:jc w:val="left"/>
        <w:rPr>
          <w:rFonts w:hint="eastAsia" w:ascii="仿宋_GB2312" w:hAnsi="仿宋_GB2312" w:eastAsia="仿宋_GB2312" w:cs="仿宋_GB2312"/>
          <w:color w:val="auto"/>
          <w:sz w:val="32"/>
          <w:szCs w:val="32"/>
          <w:highlight w:val="none"/>
        </w:rPr>
      </w:pPr>
      <w:r>
        <w:rPr>
          <w:rFonts w:ascii="宋体" w:hAnsi="宋体" w:eastAsia="宋体" w:cs="Times New Roman"/>
          <w:color w:val="auto"/>
          <w:sz w:val="21"/>
          <w:szCs w:val="21"/>
          <w:highlight w:val="none"/>
        </w:rPr>
        <w:br w:type="page"/>
      </w:r>
      <w:r>
        <w:rPr>
          <w:rFonts w:hint="eastAsia" w:ascii="仿宋_GB2312" w:hAnsi="仿宋_GB2312" w:eastAsia="仿宋_GB2312" w:cs="仿宋_GB2312"/>
          <w:color w:val="auto"/>
          <w:sz w:val="32"/>
          <w:szCs w:val="32"/>
          <w:highlight w:val="none"/>
        </w:rPr>
        <w:t>附件1：</w:t>
      </w:r>
    </w:p>
    <w:p>
      <w:pPr>
        <w:spacing w:line="276" w:lineRule="auto"/>
        <w:ind w:firstLine="0" w:firstLineChars="0"/>
        <w:jc w:val="center"/>
        <w:rPr>
          <w:rFonts w:ascii="宋体" w:hAnsi="宋体" w:eastAsia="宋体" w:cs="Times New Roman"/>
          <w:color w:val="auto"/>
          <w:sz w:val="21"/>
          <w:szCs w:val="21"/>
          <w:highlight w:val="none"/>
        </w:rPr>
      </w:pPr>
      <w:r>
        <w:rPr>
          <w:rFonts w:hint="eastAsia" w:ascii="仿宋_GB2312" w:hAnsi="仿宋_GB2312" w:eastAsia="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乙</w:t>
      </w:r>
      <w:r>
        <w:rPr>
          <w:rFonts w:hint="eastAsia" w:ascii="仿宋_GB2312" w:hAnsi="仿宋_GB2312" w:eastAsia="仿宋_GB2312" w:cs="仿宋_GB2312"/>
          <w:color w:val="auto"/>
          <w:sz w:val="32"/>
          <w:szCs w:val="32"/>
          <w:highlight w:val="none"/>
          <w:lang w:val="en-US" w:eastAsia="zh-CN"/>
        </w:rPr>
        <w:t>双方</w:t>
      </w:r>
      <w:r>
        <w:rPr>
          <w:rFonts w:hint="eastAsia" w:ascii="仿宋_GB2312" w:hAnsi="仿宋_GB2312" w:eastAsia="仿宋_GB2312" w:cs="仿宋_GB2312"/>
          <w:color w:val="auto"/>
          <w:sz w:val="32"/>
          <w:szCs w:val="32"/>
          <w:highlight w:val="none"/>
        </w:rPr>
        <w:t>方授权业务经办人联系卡</w:t>
      </w:r>
    </w:p>
    <w:tbl>
      <w:tblPr>
        <w:tblStyle w:val="5"/>
        <w:tblpPr w:leftFromText="180" w:rightFromText="180" w:vertAnchor="text" w:horzAnchor="margin" w:tblpXSpec="center" w:tblpY="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8"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    方：</w:t>
            </w:r>
          </w:p>
          <w:p>
            <w:pPr>
              <w:widowControl/>
              <w:spacing w:line="276" w:lineRule="auto"/>
              <w:ind w:firstLine="0" w:firstLineChars="0"/>
              <w:jc w:val="left"/>
              <w:rPr>
                <w:rFonts w:ascii="宋体" w:hAnsi="宋体" w:eastAsia="宋体" w:cs="Times New Roman"/>
                <w:color w:val="auto"/>
                <w:sz w:val="21"/>
                <w:szCs w:val="21"/>
                <w:highlight w:val="none"/>
              </w:rPr>
            </w:pPr>
            <w:r>
              <w:rPr>
                <w:rFonts w:hint="eastAsia" w:ascii="宋体" w:hAnsi="宋体" w:eastAsia="宋体" w:cs="宋体"/>
                <w:color w:val="auto"/>
                <w:kern w:val="0"/>
                <w:sz w:val="21"/>
                <w:szCs w:val="21"/>
                <w:highlight w:val="none"/>
              </w:rPr>
              <w:t>开户银行：</w:t>
            </w:r>
          </w:p>
          <w:p>
            <w:pPr>
              <w:widowControl/>
              <w:spacing w:line="276"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p>
        </w:tc>
        <w:tc>
          <w:tcPr>
            <w:tcW w:w="4979" w:type="dxa"/>
            <w:tcBorders>
              <w:top w:val="single" w:color="auto" w:sz="4" w:space="0"/>
              <w:left w:val="single" w:color="auto" w:sz="4" w:space="0"/>
              <w:right w:val="single" w:color="auto" w:sz="4" w:space="0"/>
            </w:tcBorders>
            <w:noWrap w:val="0"/>
            <w:vAlign w:val="center"/>
          </w:tcPr>
          <w:p>
            <w:pPr>
              <w:widowControl/>
              <w:spacing w:line="276"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乙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方：</w:t>
            </w:r>
            <w:r>
              <w:rPr>
                <w:rFonts w:hint="eastAsia" w:ascii="宋体" w:hAnsi="宋体" w:eastAsia="宋体" w:cs="Times New Roman"/>
                <w:snapToGrid/>
                <w:color w:val="auto"/>
                <w:sz w:val="24"/>
                <w:szCs w:val="24"/>
                <w:highlight w:val="none"/>
                <w:lang w:eastAsia="zh-CN"/>
              </w:rPr>
              <w:t>海垦（儋州）新型环保建材有限公司</w:t>
            </w:r>
          </w:p>
          <w:p>
            <w:pPr>
              <w:widowControl/>
              <w:spacing w:line="276" w:lineRule="auto"/>
              <w:ind w:firstLine="0" w:firstLineChars="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olor w:val="auto"/>
                <w:sz w:val="24"/>
                <w:highlight w:val="none"/>
              </w:rPr>
              <w:t xml:space="preserve">海南银行股份有限公司洋浦支行 </w:t>
            </w:r>
          </w:p>
          <w:p>
            <w:pPr>
              <w:widowControl/>
              <w:spacing w:line="276"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 xml:space="preserve">账 </w:t>
            </w:r>
            <w:r>
              <w:rPr>
                <w:rFonts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t>号：</w:t>
            </w:r>
            <w:r>
              <w:rPr>
                <w:rFonts w:hint="eastAsia" w:ascii="宋体" w:hAnsi="宋体" w:eastAsia="宋体"/>
                <w:color w:val="auto"/>
                <w:sz w:val="24"/>
                <w:highlight w:val="none"/>
              </w:rPr>
              <w:t>6005861100017</w:t>
            </w:r>
            <w:r>
              <w:rPr>
                <w:rFonts w:hint="eastAsia" w:ascii="宋体" w:hAnsi="宋体" w:eastAsia="宋体" w:cs="Times New Roman"/>
                <w:snapToGrid/>
                <w:color w:val="auto"/>
                <w:sz w:val="24"/>
                <w:szCs w:val="24"/>
                <w:highlight w:val="none"/>
                <w:lang w:val="en-US" w:eastAsia="zh-CN"/>
              </w:rPr>
              <w:t xml:space="preserve"> </w:t>
            </w:r>
          </w:p>
          <w:p>
            <w:pPr>
              <w:spacing w:line="276" w:lineRule="auto"/>
              <w:ind w:firstLine="0" w:firstLineChars="0"/>
              <w:jc w:val="left"/>
              <w:rPr>
                <w:rFonts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98"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0" w:firstLineChars="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法定代表人/授权代表（签字）：</w:t>
            </w:r>
          </w:p>
        </w:tc>
        <w:tc>
          <w:tcPr>
            <w:tcW w:w="4979" w:type="dxa"/>
            <w:tcBorders>
              <w:top w:val="single" w:color="auto" w:sz="4" w:space="0"/>
              <w:left w:val="single" w:color="auto" w:sz="4" w:space="0"/>
              <w:bottom w:val="single" w:color="auto" w:sz="4" w:space="0"/>
              <w:right w:val="single" w:color="auto" w:sz="4" w:space="0"/>
            </w:tcBorders>
            <w:noWrap w:val="0"/>
            <w:vAlign w:val="top"/>
          </w:tcPr>
          <w:p>
            <w:pPr>
              <w:widowControl/>
              <w:spacing w:line="276" w:lineRule="auto"/>
              <w:ind w:firstLine="0" w:firstLineChars="0"/>
              <w:jc w:val="left"/>
              <w:rPr>
                <w:rFonts w:ascii="宋体" w:hAnsi="宋体" w:eastAsia="宋体" w:cs="宋体"/>
                <w:b/>
                <w:bCs/>
                <w:color w:val="auto"/>
                <w:kern w:val="0"/>
                <w:sz w:val="21"/>
                <w:szCs w:val="21"/>
                <w:highlight w:val="none"/>
              </w:rPr>
            </w:pPr>
            <w:r>
              <w:rPr>
                <w:rFonts w:hint="eastAsia" w:ascii="宋体" w:hAnsi="宋体" w:eastAsia="宋体" w:cs="Times New Roman"/>
                <w:b/>
                <w:bCs/>
                <w:color w:val="auto"/>
                <w:sz w:val="21"/>
                <w:szCs w:val="21"/>
                <w:highlight w:val="none"/>
              </w:rPr>
              <w:t xml:space="preserve">法定代表人/授权代表（签字）：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077" w:type="dxa"/>
            <w:gridSpan w:val="2"/>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ascii="宋体" w:hAnsi="宋体" w:eastAsia="宋体" w:cs="宋体"/>
                <w:color w:val="auto"/>
                <w:sz w:val="21"/>
                <w:szCs w:val="21"/>
                <w:highlight w:val="none"/>
              </w:rPr>
              <w:t>20</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tc>
      </w:tr>
    </w:tbl>
    <w:p>
      <w:pPr>
        <w:spacing w:line="276" w:lineRule="auto"/>
        <w:ind w:firstLine="0" w:firstLineChars="0"/>
        <w:rPr>
          <w:rFonts w:ascii="宋体" w:hAnsi="宋体" w:eastAsia="宋体" w:cs="宋体"/>
          <w:color w:val="auto"/>
          <w:sz w:val="21"/>
          <w:szCs w:val="21"/>
          <w:highlight w:val="none"/>
        </w:rPr>
      </w:pPr>
    </w:p>
    <w:p>
      <w:pPr>
        <w:pageBreakBefore/>
        <w:spacing w:line="276" w:lineRule="auto"/>
        <w:ind w:firstLine="0" w:firstLineChars="0"/>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附件</w:t>
      </w:r>
      <w:r>
        <w:rPr>
          <w:rFonts w:hint="eastAsia" w:ascii="仿宋_GB2312" w:hAnsi="仿宋_GB2312" w:eastAsia="仿宋_GB2312" w:cs="仿宋_GB2312"/>
          <w:b/>
          <w:color w:val="auto"/>
          <w:sz w:val="32"/>
          <w:szCs w:val="32"/>
          <w:highlight w:val="none"/>
          <w:lang w:val="en-US" w:eastAsia="zh-CN"/>
        </w:rPr>
        <w:t>2</w:t>
      </w:r>
    </w:p>
    <w:p>
      <w:pPr>
        <w:spacing w:line="276" w:lineRule="auto"/>
        <w:ind w:firstLine="0" w:firstLineChars="0"/>
        <w:jc w:val="center"/>
        <w:rPr>
          <w:rFonts w:ascii="宋体" w:hAnsi="宋体" w:eastAsia="宋体" w:cs="Times New Roman"/>
          <w:b/>
          <w:color w:val="auto"/>
          <w:sz w:val="21"/>
          <w:szCs w:val="21"/>
          <w:highlight w:val="none"/>
        </w:rPr>
      </w:pPr>
      <w:r>
        <w:rPr>
          <w:rFonts w:hint="eastAsia" w:ascii="仿宋_GB2312" w:hAnsi="仿宋_GB2312" w:eastAsia="仿宋_GB2312" w:cs="仿宋_GB2312"/>
          <w:b/>
          <w:color w:val="auto"/>
          <w:sz w:val="32"/>
          <w:szCs w:val="32"/>
          <w:highlight w:val="none"/>
        </w:rPr>
        <w:t>授权业务经办人员联系卡</w:t>
      </w:r>
    </w:p>
    <w:tbl>
      <w:tblPr>
        <w:tblStyle w:val="5"/>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218"/>
        <w:gridCol w:w="1654"/>
        <w:gridCol w:w="1701"/>
        <w:gridCol w:w="278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06" w:type="dxa"/>
            <w:noWrap w:val="0"/>
            <w:vAlign w:val="center"/>
          </w:tcPr>
          <w:p>
            <w:pPr>
              <w:widowControl/>
              <w:spacing w:line="276" w:lineRule="auto"/>
              <w:ind w:left="-284" w:leftChars="-245" w:hanging="451" w:hangingChars="215"/>
              <w:jc w:val="center"/>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职务</w:t>
            </w:r>
          </w:p>
        </w:tc>
        <w:tc>
          <w:tcPr>
            <w:tcW w:w="121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姓名</w:t>
            </w:r>
          </w:p>
        </w:tc>
        <w:tc>
          <w:tcPr>
            <w:tcW w:w="1654"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电话</w:t>
            </w:r>
          </w:p>
        </w:tc>
        <w:tc>
          <w:tcPr>
            <w:tcW w:w="1701"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邮箱地址</w:t>
            </w:r>
          </w:p>
        </w:tc>
        <w:tc>
          <w:tcPr>
            <w:tcW w:w="278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身份证号码</w:t>
            </w:r>
          </w:p>
        </w:tc>
        <w:tc>
          <w:tcPr>
            <w:tcW w:w="1612"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签名并按手印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noWrap w:val="0"/>
            <w:vAlign w:val="center"/>
          </w:tcPr>
          <w:p>
            <w:pPr>
              <w:widowControl/>
              <w:spacing w:line="276" w:lineRule="auto"/>
              <w:ind w:firstLine="0" w:firstLineChars="0"/>
              <w:jc w:val="center"/>
              <w:rPr>
                <w:rFonts w:hint="eastAsia" w:ascii="宋体" w:hAnsi="宋体" w:eastAsia="宋体" w:cs="Times New Roman"/>
                <w:color w:val="auto"/>
                <w:kern w:val="0"/>
                <w:sz w:val="21"/>
                <w:szCs w:val="21"/>
                <w:highlight w:val="none"/>
                <w:lang w:eastAsia="zh-CN"/>
              </w:rPr>
            </w:pPr>
            <w:r>
              <w:rPr>
                <w:rFonts w:hint="eastAsia" w:ascii="宋体" w:hAnsi="宋体" w:eastAsia="宋体" w:cs="Times New Roman"/>
                <w:color w:val="auto"/>
                <w:kern w:val="0"/>
                <w:sz w:val="21"/>
                <w:szCs w:val="21"/>
                <w:highlight w:val="none"/>
              </w:rPr>
              <w:t>调价函接收/签认人</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甲方</w:t>
            </w:r>
            <w:r>
              <w:rPr>
                <w:rFonts w:hint="eastAsia" w:ascii="宋体" w:hAnsi="宋体" w:eastAsia="宋体" w:cs="Times New Roman"/>
                <w:color w:val="auto"/>
                <w:kern w:val="0"/>
                <w:sz w:val="21"/>
                <w:szCs w:val="21"/>
                <w:highlight w:val="none"/>
                <w:lang w:eastAsia="zh-CN"/>
              </w:rPr>
              <w:t>）</w:t>
            </w:r>
          </w:p>
        </w:tc>
        <w:tc>
          <w:tcPr>
            <w:tcW w:w="121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54"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701"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278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12"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noWrap w:val="0"/>
            <w:vAlign w:val="center"/>
          </w:tcPr>
          <w:p>
            <w:pPr>
              <w:widowControl/>
              <w:spacing w:line="276" w:lineRule="auto"/>
              <w:ind w:firstLine="0" w:firstLineChars="0"/>
              <w:jc w:val="center"/>
              <w:rPr>
                <w:rFonts w:hint="eastAsia" w:ascii="宋体" w:hAnsi="宋体" w:eastAsia="宋体" w:cs="Times New Roman"/>
                <w:color w:val="auto"/>
                <w:kern w:val="0"/>
                <w:sz w:val="21"/>
                <w:szCs w:val="21"/>
                <w:highlight w:val="none"/>
                <w:lang w:eastAsia="zh-CN"/>
              </w:rPr>
            </w:pPr>
            <w:r>
              <w:rPr>
                <w:rFonts w:hint="eastAsia" w:ascii="宋体" w:hAnsi="宋体" w:eastAsia="宋体" w:cs="Times New Roman"/>
                <w:color w:val="auto"/>
                <w:kern w:val="0"/>
                <w:sz w:val="21"/>
                <w:szCs w:val="21"/>
                <w:highlight w:val="none"/>
              </w:rPr>
              <w:t>合同及补充协议授权签订人</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甲方</w:t>
            </w:r>
            <w:r>
              <w:rPr>
                <w:rFonts w:hint="eastAsia" w:ascii="宋体" w:hAnsi="宋体" w:eastAsia="宋体" w:cs="Times New Roman"/>
                <w:color w:val="auto"/>
                <w:kern w:val="0"/>
                <w:sz w:val="21"/>
                <w:szCs w:val="21"/>
                <w:highlight w:val="none"/>
                <w:lang w:eastAsia="zh-CN"/>
              </w:rPr>
              <w:t>）</w:t>
            </w:r>
          </w:p>
        </w:tc>
        <w:tc>
          <w:tcPr>
            <w:tcW w:w="121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54"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701"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278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12"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noWrap w:val="0"/>
            <w:vAlign w:val="center"/>
          </w:tcPr>
          <w:p>
            <w:pPr>
              <w:widowControl/>
              <w:spacing w:line="276" w:lineRule="auto"/>
              <w:ind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rPr>
              <w:t>调价函接收/签认人</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乙方</w:t>
            </w:r>
            <w:r>
              <w:rPr>
                <w:rFonts w:hint="eastAsia" w:ascii="宋体" w:hAnsi="宋体" w:eastAsia="宋体" w:cs="Times New Roman"/>
                <w:color w:val="auto"/>
                <w:kern w:val="0"/>
                <w:sz w:val="21"/>
                <w:szCs w:val="21"/>
                <w:highlight w:val="none"/>
                <w:lang w:eastAsia="zh-CN"/>
              </w:rPr>
              <w:t>）</w:t>
            </w:r>
          </w:p>
        </w:tc>
        <w:tc>
          <w:tcPr>
            <w:tcW w:w="121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54"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701"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278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12"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noWrap w:val="0"/>
            <w:vAlign w:val="center"/>
          </w:tcPr>
          <w:p>
            <w:pPr>
              <w:widowControl/>
              <w:spacing w:line="276" w:lineRule="auto"/>
              <w:ind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rPr>
              <w:t>合同及补充协议授权签订人</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乙方</w:t>
            </w:r>
            <w:r>
              <w:rPr>
                <w:rFonts w:hint="eastAsia" w:ascii="宋体" w:hAnsi="宋体" w:eastAsia="宋体" w:cs="Times New Roman"/>
                <w:color w:val="auto"/>
                <w:kern w:val="0"/>
                <w:sz w:val="21"/>
                <w:szCs w:val="21"/>
                <w:highlight w:val="none"/>
                <w:lang w:eastAsia="zh-CN"/>
              </w:rPr>
              <w:t>）</w:t>
            </w:r>
          </w:p>
        </w:tc>
        <w:tc>
          <w:tcPr>
            <w:tcW w:w="121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54"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701"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278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12"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6"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21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54"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701"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2788"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c>
          <w:tcPr>
            <w:tcW w:w="1612" w:type="dxa"/>
            <w:noWrap w:val="0"/>
            <w:vAlign w:val="center"/>
          </w:tcPr>
          <w:p>
            <w:pPr>
              <w:widowControl/>
              <w:spacing w:line="276" w:lineRule="auto"/>
              <w:ind w:firstLine="0" w:firstLineChars="0"/>
              <w:jc w:val="center"/>
              <w:rPr>
                <w:rFonts w:ascii="宋体" w:hAnsi="宋体" w:eastAsia="宋体" w:cs="Times New Roman"/>
                <w:color w:val="auto"/>
                <w:kern w:val="0"/>
                <w:sz w:val="21"/>
                <w:szCs w:val="21"/>
                <w:highlight w:val="none"/>
              </w:rPr>
            </w:pPr>
          </w:p>
        </w:tc>
      </w:tr>
    </w:tbl>
    <w:p>
      <w:pPr>
        <w:spacing w:line="276" w:lineRule="auto"/>
        <w:ind w:firstLine="0" w:firstLineChars="0"/>
        <w:rPr>
          <w:rFonts w:ascii="宋体" w:hAnsi="宋体" w:eastAsia="宋体" w:cs="Times New Roman"/>
          <w:color w:val="auto"/>
          <w:sz w:val="21"/>
          <w:szCs w:val="21"/>
          <w:highlight w:val="none"/>
        </w:rPr>
      </w:pPr>
    </w:p>
    <w:p>
      <w:pPr>
        <w:spacing w:line="276" w:lineRule="auto"/>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 xml:space="preserve">        </w:t>
      </w:r>
    </w:p>
    <w:p>
      <w:pPr>
        <w:spacing w:line="276" w:lineRule="auto"/>
        <w:ind w:firstLine="0" w:firstLineChars="0"/>
        <w:jc w:val="center"/>
        <w:rPr>
          <w:rFonts w:ascii="宋体" w:hAnsi="宋体" w:eastAsia="宋体" w:cs="Times New Roman"/>
          <w:color w:val="auto"/>
          <w:sz w:val="21"/>
          <w:szCs w:val="21"/>
          <w:highlight w:val="none"/>
        </w:rPr>
      </w:pPr>
    </w:p>
    <w:p>
      <w:pPr>
        <w:spacing w:line="276" w:lineRule="auto"/>
        <w:ind w:firstLine="0" w:firstLineChars="0"/>
        <w:jc w:val="right"/>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甲</w:t>
      </w:r>
      <w:r>
        <w:rPr>
          <w:rFonts w:hint="eastAsia" w:ascii="仿宋_GB2312" w:hAnsi="仿宋_GB2312" w:eastAsia="仿宋_GB2312" w:cs="仿宋_GB2312"/>
          <w:color w:val="auto"/>
          <w:sz w:val="32"/>
          <w:szCs w:val="32"/>
          <w:highlight w:val="none"/>
        </w:rPr>
        <w:t xml:space="preserve">方：（加盖公章） </w:t>
      </w:r>
    </w:p>
    <w:p>
      <w:pPr>
        <w:spacing w:line="276" w:lineRule="auto"/>
        <w:ind w:firstLine="0" w:firstLineChars="0"/>
        <w:jc w:val="right"/>
        <w:rPr>
          <w:rFonts w:hint="eastAsia" w:ascii="仿宋_GB2312" w:hAnsi="仿宋_GB2312" w:eastAsia="仿宋_GB2312" w:cs="仿宋_GB2312"/>
          <w:color w:val="auto"/>
          <w:sz w:val="32"/>
          <w:szCs w:val="32"/>
          <w:highlight w:val="none"/>
        </w:rPr>
      </w:pPr>
    </w:p>
    <w:p>
      <w:pPr>
        <w:spacing w:line="276" w:lineRule="auto"/>
        <w:ind w:right="210" w:firstLine="0" w:firstLineChars="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授权期限：20</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日至20</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spacing w:line="276" w:lineRule="auto"/>
        <w:ind w:firstLine="0" w:firstLineChars="0"/>
        <w:jc w:val="center"/>
        <w:rPr>
          <w:rFonts w:ascii="宋体" w:hAnsi="宋体" w:eastAsia="宋体" w:cs="Times New Roman"/>
          <w:color w:val="auto"/>
          <w:sz w:val="21"/>
          <w:szCs w:val="21"/>
          <w:highlight w:val="none"/>
        </w:rPr>
      </w:pPr>
    </w:p>
    <w:p>
      <w:pPr>
        <w:spacing w:line="276" w:lineRule="auto"/>
        <w:ind w:firstLine="0" w:firstLineChars="0"/>
        <w:jc w:val="center"/>
        <w:rPr>
          <w:rFonts w:ascii="宋体" w:hAnsi="宋体" w:eastAsia="宋体" w:cs="Times New Roman"/>
          <w:color w:val="auto"/>
          <w:sz w:val="21"/>
          <w:szCs w:val="21"/>
          <w:highlight w:val="none"/>
        </w:rPr>
      </w:pPr>
    </w:p>
    <w:p>
      <w:pPr>
        <w:spacing w:line="276" w:lineRule="auto"/>
        <w:ind w:firstLine="0" w:firstLineChars="0"/>
        <w:jc w:val="center"/>
        <w:rPr>
          <w:rFonts w:ascii="宋体" w:hAnsi="宋体" w:eastAsia="宋体" w:cs="Times New Roman"/>
          <w:color w:val="auto"/>
          <w:sz w:val="21"/>
          <w:szCs w:val="21"/>
          <w:highlight w:val="none"/>
        </w:rPr>
      </w:pPr>
    </w:p>
    <w:p>
      <w:pPr>
        <w:spacing w:line="276" w:lineRule="auto"/>
        <w:ind w:firstLine="0" w:firstLineChars="0"/>
        <w:jc w:val="center"/>
        <w:rPr>
          <w:rFonts w:ascii="宋体" w:hAnsi="宋体" w:eastAsia="宋体" w:cs="Times New Roman"/>
          <w:color w:val="auto"/>
          <w:sz w:val="21"/>
          <w:szCs w:val="21"/>
          <w:highlight w:val="none"/>
        </w:rPr>
      </w:pPr>
    </w:p>
    <w:p>
      <w:pPr>
        <w:spacing w:line="276" w:lineRule="auto"/>
        <w:ind w:firstLine="0" w:firstLineChars="0"/>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 xml:space="preserve">                                     </w:t>
      </w:r>
    </w:p>
    <w:p>
      <w:pPr>
        <w:spacing w:line="276" w:lineRule="auto"/>
        <w:ind w:firstLine="0" w:firstLineChars="0"/>
        <w:jc w:val="right"/>
        <w:rPr>
          <w:rFonts w:hint="eastAsia" w:ascii="仿宋_GB2312" w:hAnsi="仿宋_GB2312" w:eastAsia="仿宋_GB2312" w:cs="仿宋_GB2312"/>
          <w:color w:val="auto"/>
          <w:sz w:val="32"/>
          <w:szCs w:val="32"/>
          <w:highlight w:val="none"/>
          <w:u w:val="single"/>
        </w:rPr>
      </w:pPr>
      <w:r>
        <w:rPr>
          <w:rFonts w:ascii="宋体" w:hAnsi="宋体" w:eastAsia="宋体" w:cs="Times New Roman"/>
          <w:color w:val="auto"/>
          <w:sz w:val="21"/>
          <w:szCs w:val="21"/>
          <w:highlight w:val="none"/>
        </w:rPr>
        <w:t xml:space="preserve">      </w:t>
      </w:r>
      <w:r>
        <w:rPr>
          <w:rFonts w:hint="eastAsia" w:ascii="宋体" w:hAnsi="宋体" w:eastAsia="宋体" w:cs="Times New Roman"/>
          <w:color w:val="auto"/>
          <w:sz w:val="21"/>
          <w:szCs w:val="21"/>
          <w:highlight w:val="none"/>
        </w:rPr>
        <w:t xml:space="preserve">       </w:t>
      </w:r>
      <w:r>
        <w:rPr>
          <w:rFonts w:ascii="宋体" w:hAnsi="宋体" w:eastAsia="宋体" w:cs="Times New Roman"/>
          <w:color w:val="auto"/>
          <w:sz w:val="21"/>
          <w:szCs w:val="21"/>
          <w:highlight w:val="none"/>
        </w:rPr>
        <w:t xml:space="preserve">         </w:t>
      </w:r>
      <w:r>
        <w:rPr>
          <w:rFonts w:hint="eastAsia" w:ascii="仿宋_GB2312" w:hAnsi="仿宋_GB2312" w:eastAsia="仿宋_GB2312" w:cs="仿宋_GB2312"/>
          <w:color w:val="auto"/>
          <w:sz w:val="32"/>
          <w:szCs w:val="32"/>
          <w:highlight w:val="none"/>
        </w:rPr>
        <w:t xml:space="preserve">  乙方：（加盖公章） </w:t>
      </w:r>
    </w:p>
    <w:p>
      <w:pPr>
        <w:spacing w:line="276" w:lineRule="auto"/>
        <w:ind w:firstLine="0" w:firstLineChars="0"/>
        <w:jc w:val="right"/>
        <w:rPr>
          <w:rFonts w:hint="eastAsia" w:ascii="仿宋_GB2312" w:hAnsi="仿宋_GB2312" w:eastAsia="仿宋_GB2312" w:cs="仿宋_GB2312"/>
          <w:color w:val="auto"/>
          <w:sz w:val="32"/>
          <w:szCs w:val="32"/>
          <w:highlight w:val="none"/>
        </w:rPr>
      </w:pPr>
    </w:p>
    <w:p>
      <w:pPr>
        <w:spacing w:line="276" w:lineRule="auto"/>
        <w:ind w:right="210" w:firstLine="0" w:firstLineChars="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授权期限：20</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日至20</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pPr>
        <w:widowControl w:val="0"/>
        <w:spacing w:line="276" w:lineRule="auto"/>
        <w:jc w:val="right"/>
        <w:rPr>
          <w:rFonts w:ascii="宋体" w:hAnsi="宋体" w:eastAsia="宋体" w:cs="Times New Roman"/>
          <w:color w:val="auto"/>
          <w:kern w:val="2"/>
          <w:sz w:val="21"/>
          <w:szCs w:val="21"/>
          <w:highlight w:val="none"/>
          <w:lang w:val="en-US" w:eastAsia="zh-CN" w:bidi="ar-SA"/>
        </w:rPr>
      </w:pPr>
    </w:p>
    <w:p>
      <w:pPr>
        <w:widowControl w:val="0"/>
        <w:spacing w:line="276" w:lineRule="auto"/>
        <w:jc w:val="right"/>
        <w:rPr>
          <w:rFonts w:ascii="宋体" w:hAnsi="宋体" w:eastAsia="宋体" w:cs="Times New Roman"/>
          <w:color w:val="auto"/>
          <w:kern w:val="2"/>
          <w:sz w:val="21"/>
          <w:szCs w:val="21"/>
          <w:highlight w:val="none"/>
          <w:lang w:val="en-US" w:eastAsia="zh-CN" w:bidi="ar-SA"/>
        </w:rPr>
      </w:pPr>
    </w:p>
    <w:p>
      <w:pPr>
        <w:ind w:left="0" w:leftChars="0" w:firstLine="0" w:firstLineChars="0"/>
        <w:jc w:val="right"/>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701" w:bottom="1417" w:left="170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68425"/>
    <w:multiLevelType w:val="singleLevel"/>
    <w:tmpl w:val="8D268425"/>
    <w:lvl w:ilvl="0" w:tentative="0">
      <w:start w:val="2"/>
      <w:numFmt w:val="decimal"/>
      <w:suff w:val="nothing"/>
      <w:lvlText w:val="%1、"/>
      <w:lvlJc w:val="left"/>
    </w:lvl>
  </w:abstractNum>
  <w:abstractNum w:abstractNumId="1">
    <w:nsid w:val="E84966B9"/>
    <w:multiLevelType w:val="singleLevel"/>
    <w:tmpl w:val="E84966B9"/>
    <w:lvl w:ilvl="0" w:tentative="0">
      <w:start w:val="8"/>
      <w:numFmt w:val="chineseCounting"/>
      <w:suff w:val="space"/>
      <w:lvlText w:val="第%1条"/>
      <w:lvlJc w:val="left"/>
      <w:rPr>
        <w:rFonts w:hint="eastAsia"/>
      </w:rPr>
    </w:lvl>
  </w:abstractNum>
  <w:abstractNum w:abstractNumId="2">
    <w:nsid w:val="7807C9CF"/>
    <w:multiLevelType w:val="singleLevel"/>
    <w:tmpl w:val="7807C9CF"/>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ZmVlNTRhYzMxMTQxOTZhNjkxMDVlMzk3YTE5YzYifQ=="/>
    <w:docVar w:name="KSO_WPS_MARK_KEY" w:val="a0e3d435-f363-4ae3-a041-29009158d09a"/>
  </w:docVars>
  <w:rsids>
    <w:rsidRoot w:val="4DD20B95"/>
    <w:rsid w:val="023F73A0"/>
    <w:rsid w:val="02E72A37"/>
    <w:rsid w:val="03E163DC"/>
    <w:rsid w:val="053553E8"/>
    <w:rsid w:val="05382A20"/>
    <w:rsid w:val="05E57848"/>
    <w:rsid w:val="06AA57CE"/>
    <w:rsid w:val="076C140E"/>
    <w:rsid w:val="12844B79"/>
    <w:rsid w:val="168649BF"/>
    <w:rsid w:val="172A3039"/>
    <w:rsid w:val="19631F1F"/>
    <w:rsid w:val="1ADE334D"/>
    <w:rsid w:val="1BFB4FA4"/>
    <w:rsid w:val="1E3E4DFF"/>
    <w:rsid w:val="1F6A5082"/>
    <w:rsid w:val="244162A2"/>
    <w:rsid w:val="25C618B3"/>
    <w:rsid w:val="25EA0F46"/>
    <w:rsid w:val="26693C58"/>
    <w:rsid w:val="280B47C0"/>
    <w:rsid w:val="299E3412"/>
    <w:rsid w:val="2B4B4573"/>
    <w:rsid w:val="2BF67536"/>
    <w:rsid w:val="2C870D05"/>
    <w:rsid w:val="32FD48AE"/>
    <w:rsid w:val="34851B6B"/>
    <w:rsid w:val="35CA5CBB"/>
    <w:rsid w:val="3627538C"/>
    <w:rsid w:val="38DF12E3"/>
    <w:rsid w:val="391D3392"/>
    <w:rsid w:val="3A2F6759"/>
    <w:rsid w:val="3CA72276"/>
    <w:rsid w:val="3F110BCB"/>
    <w:rsid w:val="3F666484"/>
    <w:rsid w:val="3FB76496"/>
    <w:rsid w:val="426A28EB"/>
    <w:rsid w:val="43AD51F6"/>
    <w:rsid w:val="49770B6D"/>
    <w:rsid w:val="4B1010DA"/>
    <w:rsid w:val="4C946617"/>
    <w:rsid w:val="4DD20B95"/>
    <w:rsid w:val="4F7155F0"/>
    <w:rsid w:val="4F7E0844"/>
    <w:rsid w:val="52C60E77"/>
    <w:rsid w:val="52FE7B45"/>
    <w:rsid w:val="54206556"/>
    <w:rsid w:val="548B13E3"/>
    <w:rsid w:val="57437223"/>
    <w:rsid w:val="580F2A2A"/>
    <w:rsid w:val="58850F51"/>
    <w:rsid w:val="5CC1238E"/>
    <w:rsid w:val="64AD5D92"/>
    <w:rsid w:val="660C4B2C"/>
    <w:rsid w:val="66F56294"/>
    <w:rsid w:val="68AA345B"/>
    <w:rsid w:val="6D771A05"/>
    <w:rsid w:val="6F252DE1"/>
    <w:rsid w:val="72326B14"/>
    <w:rsid w:val="75843F06"/>
    <w:rsid w:val="79B539BF"/>
    <w:rsid w:val="7A6B54F7"/>
    <w:rsid w:val="7BA508A5"/>
    <w:rsid w:val="7EA24A4B"/>
    <w:rsid w:val="7F01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snapToGrid/>
      <w:color w:val="auto"/>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4654</Words>
  <Characters>4808</Characters>
  <Lines>0</Lines>
  <Paragraphs>0</Paragraphs>
  <TotalTime>63</TotalTime>
  <ScaleCrop>false</ScaleCrop>
  <LinksUpToDate>false</LinksUpToDate>
  <CharactersWithSpaces>5352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2023-12-15T01:50:00Z</dcterms:created>
  <dc:creator>孙元隆</dc:creator>
  <cp:lastModifiedBy>曾令杰</cp:lastModifiedBy>
  <cp:lastPrinted>2025-02-26T07:05:00Z</cp:lastPrinted>
  <dcterms:modified xsi:type="dcterms:W3CDTF">2025-03-26T08:55:52Z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54A4B0D1A29D4BFE8FA29ABCA627DFDF</vt:lpwstr>
  </property>
</Properties>
</file>