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4DB7F2">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169BD3C">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0507B97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49888129">
      <w:pPr>
        <w:pStyle w:val="6"/>
        <w:ind w:firstLine="0"/>
        <w:jc w:val="left"/>
        <w:rPr>
          <w:rFonts w:ascii="仿宋_GB2312" w:hAnsi="仿宋_GB2312" w:eastAsia="仿宋_GB2312" w:cs="仿宋_GB2312"/>
          <w:color w:val="000000"/>
          <w:sz w:val="30"/>
          <w:szCs w:val="30"/>
        </w:rPr>
      </w:pPr>
    </w:p>
    <w:p w14:paraId="73FDBE4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52E8EBF3">
      <w:pPr>
        <w:pStyle w:val="6"/>
        <w:ind w:firstLine="0"/>
        <w:jc w:val="left"/>
        <w:rPr>
          <w:rFonts w:ascii="仿宋_GB2312" w:hAnsi="仿宋_GB2312" w:eastAsia="仿宋_GB2312" w:cs="仿宋_GB2312"/>
          <w:color w:val="000000"/>
          <w:sz w:val="30"/>
          <w:szCs w:val="30"/>
        </w:rPr>
      </w:pPr>
    </w:p>
    <w:p w14:paraId="0B4321B1">
      <w:pPr>
        <w:pStyle w:val="6"/>
        <w:jc w:val="left"/>
        <w:rPr>
          <w:rFonts w:ascii="仿宋_GB2312" w:hAnsi="仿宋_GB2312" w:eastAsia="仿宋_GB2312" w:cs="仿宋_GB2312"/>
          <w:color w:val="000000"/>
          <w:sz w:val="30"/>
          <w:szCs w:val="30"/>
        </w:rPr>
      </w:pPr>
    </w:p>
    <w:p w14:paraId="1F5E25A4">
      <w:pPr>
        <w:pStyle w:val="6"/>
        <w:jc w:val="left"/>
        <w:rPr>
          <w:rFonts w:ascii="仿宋_GB2312" w:hAnsi="仿宋_GB2312" w:eastAsia="仿宋_GB2312" w:cs="仿宋_GB2312"/>
          <w:color w:val="000000"/>
          <w:sz w:val="30"/>
          <w:szCs w:val="30"/>
        </w:rPr>
      </w:pPr>
    </w:p>
    <w:p w14:paraId="426744E5">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1D38C47E">
      <w:pPr>
        <w:pStyle w:val="6"/>
        <w:ind w:firstLine="0"/>
        <w:jc w:val="left"/>
        <w:rPr>
          <w:rFonts w:ascii="仿宋_GB2312" w:hAnsi="仿宋_GB2312" w:eastAsia="仿宋_GB2312" w:cs="仿宋_GB2312"/>
          <w:color w:val="000000"/>
          <w:sz w:val="30"/>
          <w:szCs w:val="30"/>
        </w:rPr>
      </w:pPr>
    </w:p>
    <w:p w14:paraId="65F221F6">
      <w:pPr>
        <w:pStyle w:val="6"/>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7E21C690">
      <w:pPr>
        <w:pStyle w:val="6"/>
        <w:jc w:val="left"/>
        <w:rPr>
          <w:rFonts w:ascii="仿宋_GB2312" w:hAnsi="仿宋_GB2312" w:eastAsia="仿宋_GB2312" w:cs="仿宋_GB2312"/>
          <w:color w:val="000000"/>
          <w:sz w:val="30"/>
          <w:szCs w:val="30"/>
        </w:rPr>
      </w:pPr>
    </w:p>
    <w:p w14:paraId="5309DF68">
      <w:pPr>
        <w:pStyle w:val="6"/>
        <w:jc w:val="left"/>
        <w:rPr>
          <w:rFonts w:ascii="仿宋_GB2312" w:hAnsi="仿宋_GB2312" w:eastAsia="仿宋_GB2312" w:cs="仿宋_GB2312"/>
          <w:color w:val="000000"/>
          <w:sz w:val="30"/>
          <w:szCs w:val="30"/>
        </w:rPr>
      </w:pPr>
    </w:p>
    <w:p w14:paraId="5FE63F90">
      <w:pPr>
        <w:pStyle w:val="6"/>
        <w:jc w:val="left"/>
        <w:rPr>
          <w:rFonts w:ascii="仿宋_GB2312" w:hAnsi="仿宋_GB2312" w:eastAsia="仿宋_GB2312" w:cs="仿宋_GB2312"/>
          <w:color w:val="000000"/>
          <w:sz w:val="30"/>
          <w:szCs w:val="30"/>
        </w:rPr>
      </w:pPr>
    </w:p>
    <w:p w14:paraId="5C162833">
      <w:pPr>
        <w:pStyle w:val="6"/>
        <w:jc w:val="left"/>
        <w:rPr>
          <w:rFonts w:ascii="仿宋_GB2312" w:hAnsi="仿宋_GB2312" w:eastAsia="仿宋_GB2312" w:cs="仿宋_GB2312"/>
          <w:color w:val="000000"/>
          <w:sz w:val="30"/>
          <w:szCs w:val="30"/>
        </w:rPr>
      </w:pPr>
    </w:p>
    <w:p w14:paraId="70AE65A4">
      <w:pPr>
        <w:pStyle w:val="6"/>
        <w:jc w:val="left"/>
        <w:rPr>
          <w:rFonts w:ascii="仿宋_GB2312" w:hAnsi="仿宋_GB2312" w:eastAsia="仿宋_GB2312" w:cs="仿宋_GB2312"/>
          <w:color w:val="000000"/>
          <w:sz w:val="30"/>
          <w:szCs w:val="30"/>
        </w:rPr>
      </w:pPr>
    </w:p>
    <w:p w14:paraId="36AF397D">
      <w:pPr>
        <w:pStyle w:val="6"/>
        <w:jc w:val="left"/>
        <w:rPr>
          <w:rFonts w:ascii="仿宋_GB2312" w:hAnsi="仿宋_GB2312" w:eastAsia="仿宋_GB2312" w:cs="仿宋_GB2312"/>
          <w:color w:val="000000"/>
          <w:sz w:val="30"/>
          <w:szCs w:val="30"/>
        </w:rPr>
      </w:pPr>
    </w:p>
    <w:p w14:paraId="300EDA70">
      <w:pPr>
        <w:pStyle w:val="6"/>
        <w:jc w:val="left"/>
        <w:rPr>
          <w:rFonts w:ascii="仿宋_GB2312" w:hAnsi="仿宋_GB2312" w:eastAsia="仿宋_GB2312" w:cs="仿宋_GB2312"/>
          <w:color w:val="000000"/>
          <w:sz w:val="30"/>
          <w:szCs w:val="30"/>
        </w:rPr>
      </w:pPr>
    </w:p>
    <w:p w14:paraId="72882978">
      <w:pPr>
        <w:pStyle w:val="6"/>
        <w:jc w:val="left"/>
        <w:rPr>
          <w:rFonts w:ascii="仿宋_GB2312" w:hAnsi="仿宋_GB2312" w:eastAsia="仿宋_GB2312" w:cs="仿宋_GB2312"/>
          <w:color w:val="000000"/>
          <w:sz w:val="30"/>
          <w:szCs w:val="30"/>
        </w:rPr>
      </w:pPr>
    </w:p>
    <w:p w14:paraId="0A84CBE1">
      <w:pPr>
        <w:jc w:val="left"/>
        <w:sectPr>
          <w:pgSz w:w="11906" w:h="16838"/>
          <w:pgMar w:top="1440" w:right="1800" w:bottom="1440" w:left="1800" w:header="851" w:footer="992" w:gutter="0"/>
          <w:cols w:space="425" w:num="1"/>
          <w:docGrid w:type="lines" w:linePitch="312" w:charSpace="0"/>
        </w:sectPr>
      </w:pPr>
    </w:p>
    <w:p w14:paraId="6207068B">
      <w:pPr>
        <w:pStyle w:val="4"/>
        <w:spacing w:line="240" w:lineRule="auto"/>
        <w:rPr>
          <w:rFonts w:ascii="黑体" w:hAnsi="黑体"/>
          <w:color w:val="000000"/>
        </w:rPr>
      </w:pPr>
      <w:bookmarkStart w:id="1" w:name="_Toc11918"/>
      <w:bookmarkStart w:id="2" w:name="_Toc32320"/>
      <w:bookmarkStart w:id="3" w:name="_Toc15737"/>
      <w:bookmarkStart w:id="4" w:name="_Toc24454"/>
      <w:bookmarkStart w:id="5" w:name="_Toc20910"/>
      <w:bookmarkStart w:id="6" w:name="_Toc21762"/>
      <w:bookmarkStart w:id="7" w:name="_Toc21422"/>
      <w:bookmarkStart w:id="8" w:name="_Toc25712"/>
      <w:bookmarkStart w:id="9" w:name="_Toc13462"/>
      <w:bookmarkStart w:id="10" w:name="_Toc8396"/>
      <w:bookmarkStart w:id="11" w:name="_Toc12789"/>
      <w:bookmarkStart w:id="12" w:name="_Toc29002"/>
      <w:bookmarkStart w:id="13" w:name="_Toc7615"/>
      <w:bookmarkStart w:id="14" w:name="_Toc24068"/>
      <w:bookmarkStart w:id="15" w:name="_Toc20033"/>
      <w:bookmarkStart w:id="16" w:name="_Toc24727"/>
      <w:r>
        <w:rPr>
          <w:rFonts w:hint="eastAsia" w:ascii="黑体" w:hAnsi="黑体"/>
          <w:color w:val="000000"/>
        </w:rPr>
        <w:t>网络竞价须知</w:t>
      </w:r>
      <w:bookmarkEnd w:id="1"/>
      <w:bookmarkEnd w:id="2"/>
      <w:bookmarkEnd w:id="3"/>
      <w:bookmarkEnd w:id="4"/>
      <w:bookmarkEnd w:id="5"/>
      <w:bookmarkEnd w:id="6"/>
      <w:bookmarkEnd w:id="7"/>
    </w:p>
    <w:p w14:paraId="5B3AB3E4">
      <w:pPr>
        <w:numPr>
          <w:ilvl w:val="0"/>
          <w:numId w:val="1"/>
        </w:numPr>
        <w:spacing w:line="520" w:lineRule="exact"/>
        <w:rPr>
          <w:rFonts w:ascii="新宋体" w:hAnsi="新宋体" w:eastAsia="新宋体"/>
          <w:sz w:val="28"/>
          <w:szCs w:val="28"/>
        </w:rPr>
      </w:pPr>
      <w:r>
        <w:rPr>
          <w:rFonts w:hint="eastAsia" w:ascii="新宋体" w:hAnsi="新宋体" w:eastAsia="新宋体"/>
          <w:b/>
          <w:bCs/>
          <w:color w:val="C00000"/>
          <w:sz w:val="28"/>
          <w:szCs w:val="28"/>
          <w:u w:val="single"/>
          <w:lang w:val="en-US" w:eastAsia="zh-CN"/>
        </w:rPr>
        <w:t xml:space="preserve">东方市大田镇抱板村红泉6队路口55.85亩集体土地流转 </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w:t>
      </w:r>
      <w:r>
        <w:rPr>
          <w:rFonts w:hint="eastAsia" w:ascii="新宋体" w:hAnsi="新宋体" w:eastAsia="新宋体" w:cs="新宋体"/>
          <w:color w:val="auto"/>
          <w:sz w:val="28"/>
          <w:szCs w:val="28"/>
          <w:highlight w:val="none"/>
        </w:rPr>
        <w:fldChar w:fldCharType="begin"/>
      </w:r>
      <w:r>
        <w:rPr>
          <w:rFonts w:hint="eastAsia" w:ascii="新宋体" w:hAnsi="新宋体" w:eastAsia="新宋体" w:cs="新宋体"/>
          <w:sz w:val="28"/>
          <w:szCs w:val="28"/>
          <w:highlight w:val="none"/>
        </w:rPr>
        <w:instrText xml:space="preserve"> HYPERLINK \l _Toc17598 </w:instrText>
      </w:r>
      <w:r>
        <w:rPr>
          <w:rFonts w:hint="eastAsia" w:ascii="新宋体" w:hAnsi="新宋体" w:eastAsia="新宋体" w:cs="新宋体"/>
          <w:sz w:val="28"/>
          <w:szCs w:val="28"/>
          <w:highlight w:val="none"/>
        </w:rPr>
        <w:fldChar w:fldCharType="separate"/>
      </w:r>
      <w:r>
        <w:rPr>
          <w:rFonts w:hint="eastAsia" w:ascii="新宋体" w:hAnsi="新宋体" w:eastAsia="新宋体" w:cs="新宋体"/>
          <w:kern w:val="0"/>
          <w:sz w:val="28"/>
          <w:szCs w:val="28"/>
          <w:highlight w:val="none"/>
          <w:lang w:val="en-US" w:eastAsia="zh-CN"/>
        </w:rPr>
        <w:t>东方</w:t>
      </w:r>
      <w:r>
        <w:rPr>
          <w:rFonts w:hint="eastAsia" w:ascii="新宋体" w:hAnsi="新宋体" w:eastAsia="新宋体" w:cs="新宋体"/>
          <w:kern w:val="0"/>
          <w:sz w:val="28"/>
          <w:szCs w:val="28"/>
          <w:highlight w:val="none"/>
        </w:rPr>
        <w:t>农村产权交易中心农村产权交易规则（试行）</w:t>
      </w:r>
      <w:r>
        <w:rPr>
          <w:rFonts w:hint="eastAsia" w:ascii="新宋体" w:hAnsi="新宋体" w:eastAsia="新宋体" w:cs="新宋体"/>
          <w:color w:val="auto"/>
          <w:sz w:val="28"/>
          <w:szCs w:val="28"/>
          <w:highlight w:val="none"/>
        </w:rPr>
        <w:fldChar w:fldCharType="end"/>
      </w:r>
      <w:r>
        <w:rPr>
          <w:rFonts w:hint="eastAsia" w:ascii="新宋体" w:hAnsi="新宋体" w:eastAsia="新宋体"/>
          <w:sz w:val="28"/>
          <w:szCs w:val="28"/>
        </w:rPr>
        <w:t>》、《</w:t>
      </w:r>
      <w:r>
        <w:rPr>
          <w:rFonts w:hint="eastAsia" w:ascii="新宋体" w:hAnsi="新宋体" w:eastAsia="新宋体" w:cs="新宋体"/>
          <w:bCs w:val="0"/>
          <w:kern w:val="0"/>
          <w:sz w:val="28"/>
          <w:szCs w:val="28"/>
          <w:highlight w:val="none"/>
          <w:lang w:val="en-US" w:eastAsia="zh-CN"/>
        </w:rPr>
        <w:t>东方</w:t>
      </w:r>
      <w:r>
        <w:rPr>
          <w:rFonts w:hint="eastAsia" w:ascii="新宋体" w:hAnsi="新宋体" w:eastAsia="新宋体" w:cs="新宋体"/>
          <w:bCs w:val="0"/>
          <w:kern w:val="0"/>
          <w:sz w:val="28"/>
          <w:szCs w:val="28"/>
          <w:highlight w:val="none"/>
        </w:rPr>
        <w:t>农村产权交易中心网络竞价实施办法（试行）</w:t>
      </w:r>
      <w:r>
        <w:rPr>
          <w:rFonts w:hint="eastAsia" w:ascii="新宋体" w:hAnsi="新宋体" w:eastAsia="新宋体"/>
          <w:sz w:val="28"/>
          <w:szCs w:val="28"/>
        </w:rPr>
        <w:t>》及有关法律、法规的规定，制定本交易须知。</w:t>
      </w:r>
    </w:p>
    <w:p w14:paraId="01BE4AB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网络竞价的竞买方必须遵守本交易须知、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有关交易规则以及有关法律法规。</w:t>
      </w:r>
    </w:p>
    <w:p w14:paraId="6B5AB62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东方</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以下简称“</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.nongjiao.com）为指定的交易</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，竞买方应通过</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参与标的竞拍活动。</w:t>
      </w:r>
    </w:p>
    <w:p w14:paraId="4DAFB73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w:t>
      </w:r>
      <w:r>
        <w:rPr>
          <w:rFonts w:hint="eastAsia" w:ascii="新宋体" w:hAnsi="新宋体" w:eastAsia="新宋体" w:cs="Times New Roman"/>
          <w:sz w:val="28"/>
          <w:szCs w:val="28"/>
          <w:lang w:val="en-US" w:eastAsia="zh-CN"/>
        </w:rPr>
        <w:t>农交中心</w:t>
      </w:r>
      <w:r>
        <w:rPr>
          <w:rFonts w:hint="eastAsia" w:ascii="新宋体" w:hAnsi="新宋体" w:eastAsia="新宋体" w:cs="Times New Roman"/>
          <w:sz w:val="28"/>
          <w:szCs w:val="28"/>
        </w:rPr>
        <w:t>运营工作人员咨询。</w:t>
      </w:r>
    </w:p>
    <w:p w14:paraId="47DB85A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图片、文字描述、附件材料或按照交易公告指定的时间进行现场踏勘了解标的，对标的现状有异议的，应在提交竞买报名前提出书面意见。对竞价成功后的《标的竞得书》及合同的签署均无异议。</w:t>
      </w:r>
    </w:p>
    <w:p w14:paraId="17580EE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有关交易规则和交易须知。</w:t>
      </w:r>
    </w:p>
    <w:p w14:paraId="2E260CF6">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05月</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29日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提交本次网络竞价《网络竞价须知》《网络竞价承诺函》等竞价文件后，</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lang w:val="en-US" w:eastAsia="zh-CN"/>
        </w:rPr>
        <w:t>网站</w:t>
      </w:r>
      <w:r>
        <w:rPr>
          <w:rFonts w:hint="eastAsia" w:ascii="新宋体" w:hAnsi="新宋体" w:eastAsia="新宋体" w:cs="Times New Roman"/>
          <w:sz w:val="28"/>
          <w:szCs w:val="28"/>
        </w:rPr>
        <w:t>审核通过后，交纳交易保证金（</w:t>
      </w:r>
      <w:r>
        <w:rPr>
          <w:rFonts w:hint="eastAsia" w:ascii="新宋体" w:hAnsi="新宋体" w:eastAsia="新宋体" w:cs="Times New Roman"/>
          <w:sz w:val="28"/>
          <w:szCs w:val="28"/>
          <w:lang w:val="en-US" w:eastAsia="zh-CN"/>
        </w:rPr>
        <w:t>50000元</w:t>
      </w:r>
      <w:r>
        <w:rPr>
          <w:rFonts w:hint="eastAsia" w:ascii="新宋体" w:hAnsi="新宋体" w:eastAsia="新宋体" w:cs="Times New Roman"/>
          <w:sz w:val="28"/>
          <w:szCs w:val="28"/>
        </w:rPr>
        <w:t>），</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w:t>
      </w:r>
      <w:r>
        <w:rPr>
          <w:rFonts w:hint="eastAsia" w:ascii="新宋体" w:hAnsi="新宋体" w:eastAsia="新宋体" w:cs="Times New Roman"/>
          <w:b/>
          <w:bCs/>
          <w:color w:val="C00000"/>
          <w:sz w:val="28"/>
          <w:szCs w:val="28"/>
          <w:lang w:eastAsia="zh-CN"/>
        </w:rPr>
        <w:t>农交中心</w:t>
      </w:r>
      <w:r>
        <w:rPr>
          <w:rFonts w:hint="eastAsia" w:ascii="新宋体" w:hAnsi="新宋体" w:eastAsia="新宋体" w:cs="Times New Roman"/>
          <w:b/>
          <w:bCs/>
          <w:color w:val="C00000"/>
          <w:sz w:val="28"/>
          <w:szCs w:val="28"/>
          <w:lang w:val="en-US" w:eastAsia="zh-CN"/>
        </w:rPr>
        <w:t>网站</w:t>
      </w:r>
      <w:r>
        <w:rPr>
          <w:rFonts w:hint="eastAsia" w:ascii="新宋体" w:hAnsi="新宋体" w:eastAsia="新宋体" w:cs="Times New Roman"/>
          <w:b/>
          <w:bCs/>
          <w:color w:val="C00000"/>
          <w:sz w:val="28"/>
          <w:szCs w:val="28"/>
        </w:rPr>
        <w:t>交易保证金结算账户，方取得竞拍资格。</w:t>
      </w:r>
    </w:p>
    <w:p w14:paraId="17AC7BA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3"/>
        <w:tblW w:w="0" w:type="auto"/>
        <w:jc w:val="center"/>
        <w:tblLayout w:type="fixed"/>
        <w:tblCellMar>
          <w:top w:w="0" w:type="dxa"/>
          <w:left w:w="108" w:type="dxa"/>
          <w:bottom w:w="0" w:type="dxa"/>
          <w:right w:w="108" w:type="dxa"/>
        </w:tblCellMar>
      </w:tblPr>
      <w:tblGrid>
        <w:gridCol w:w="1628"/>
        <w:gridCol w:w="5411"/>
      </w:tblGrid>
      <w:tr w14:paraId="1722805F">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7D9D">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6CC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东方市农村产权交易中心有限公司</w:t>
            </w:r>
          </w:p>
        </w:tc>
      </w:tr>
      <w:tr w14:paraId="74FD9ABD">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B9C1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AD3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海南农商银行东方八所支行</w:t>
            </w:r>
          </w:p>
        </w:tc>
      </w:tr>
      <w:tr w14:paraId="0849B04E">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E44C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95C">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1020156100000204</w:t>
            </w:r>
          </w:p>
        </w:tc>
      </w:tr>
    </w:tbl>
    <w:p w14:paraId="62FA12F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账号和提交实名认证材料时，必须按照</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要求提供及时、详尽、准确、真实的单位或个人注册资料，注册后如信息资料有任何变动，必须及时向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提出更新申请，否则由此引起的经济及法律责任均由竞买方自行承担。</w:t>
      </w:r>
    </w:p>
    <w:p w14:paraId="6B463B7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账号安全负责。任何使用竞买方用户名和密码登录的用户，在系统的一切行为均视为该竞买方本人的行为，由竞买方承担一切后果，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不承担任何责任。通过公共环境参与网络竞价活动的竞买方应注意账号安全，离开终端时应及时退出</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系统。</w:t>
      </w:r>
    </w:p>
    <w:p w14:paraId="173035B4">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dongfang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313BAFFA">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39095 </w:t>
      </w:r>
      <w:r>
        <w:rPr>
          <w:rFonts w:hint="eastAsia" w:ascii="新宋体" w:hAnsi="新宋体" w:eastAsia="新宋体" w:cs="Times New Roman"/>
          <w:b/>
          <w:bCs/>
          <w:sz w:val="28"/>
          <w:szCs w:val="28"/>
          <w:lang w:val="en-US" w:eastAsia="zh-CN"/>
        </w:rPr>
        <w:t>元/年</w:t>
      </w:r>
    </w:p>
    <w:p w14:paraId="42815393">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r>
        <w:rPr>
          <w:rFonts w:hint="eastAsia" w:ascii="新宋体" w:hAnsi="新宋体" w:eastAsia="新宋体" w:cs="Times New Roman"/>
          <w:b/>
          <w:bCs/>
          <w:kern w:val="2"/>
          <w:sz w:val="28"/>
          <w:szCs w:val="28"/>
          <w:lang w:val="en-US" w:eastAsia="zh-CN" w:bidi="ar-SA"/>
        </w:rPr>
        <w:t>2、本次网络竞价采用竞价方式（</w:t>
      </w:r>
      <w:r>
        <w:rPr>
          <w:rFonts w:hint="eastAsia" w:ascii="新宋体" w:hAnsi="新宋体" w:eastAsia="新宋体" w:cs="Times New Roman"/>
          <w:b w:val="0"/>
          <w:bCs w:val="0"/>
          <w:kern w:val="2"/>
          <w:sz w:val="28"/>
          <w:szCs w:val="28"/>
          <w:shd w:val="clear" w:color="FFFFFF" w:fill="D9D9D9"/>
          <w:lang w:val="en-US" w:eastAsia="zh-CN" w:bidi="ar-SA"/>
        </w:rPr>
        <w:t>☑</w:t>
      </w:r>
      <w:r>
        <w:rPr>
          <w:rFonts w:hint="eastAsia" w:ascii="新宋体" w:hAnsi="新宋体" w:eastAsia="新宋体" w:cs="Times New Roman"/>
          <w:b/>
          <w:bCs/>
          <w:kern w:val="2"/>
          <w:sz w:val="28"/>
          <w:szCs w:val="28"/>
          <w:lang w:val="en-US" w:eastAsia="zh-CN" w:bidi="ar-SA"/>
        </w:rPr>
        <w:t>阶梯竞价、□自由竞价）。</w:t>
      </w:r>
    </w:p>
    <w:p w14:paraId="474A067C">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p>
    <w:p w14:paraId="5711D9FB">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p>
    <w:p w14:paraId="1181425C">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p>
    <w:p w14:paraId="457C8EC3">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p>
    <w:p w14:paraId="7F4DDA45">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p>
    <w:p w14:paraId="6BE67862">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p>
    <w:p w14:paraId="0AC10D98">
      <w:pPr>
        <w:spacing w:line="520" w:lineRule="exact"/>
        <w:ind w:firstLine="562" w:firstLineChars="200"/>
        <w:jc w:val="left"/>
        <w:rPr>
          <w:rFonts w:hint="default" w:ascii="新宋体" w:hAnsi="新宋体" w:eastAsia="新宋体" w:cs="Times New Roman"/>
          <w:b/>
          <w:bCs/>
          <w:kern w:val="2"/>
          <w:sz w:val="28"/>
          <w:szCs w:val="28"/>
          <w:lang w:val="en-US" w:eastAsia="zh-CN" w:bidi="ar-SA"/>
        </w:rPr>
      </w:pPr>
      <w:r>
        <w:rPr>
          <w:rFonts w:hint="eastAsia" w:ascii="新宋体" w:hAnsi="新宋体" w:eastAsia="新宋体" w:cs="Times New Roman"/>
          <w:b/>
          <w:bCs/>
          <w:kern w:val="2"/>
          <w:sz w:val="28"/>
          <w:szCs w:val="28"/>
          <w:lang w:val="en-US" w:eastAsia="zh-CN" w:bidi="ar-SA"/>
        </w:rPr>
        <w:t xml:space="preserve">3、竞买方接受出租（转让）方确定的交易条件，通过农交中心网站的网络竞价系统进行动态递增（减）报价，将报价最高者确定为承租（受让）方的竞价方式（反向竞价以报价最低者确定为承租（受让）方）。 </w:t>
      </w:r>
    </w:p>
    <w:p w14:paraId="78BF1BB1">
      <w:pPr>
        <w:spacing w:line="520" w:lineRule="exact"/>
        <w:ind w:firstLine="562" w:firstLineChars="200"/>
        <w:jc w:val="left"/>
        <w:rPr>
          <w:rFonts w:hint="eastAsia" w:ascii="新宋体" w:hAnsi="新宋体" w:eastAsia="新宋体" w:cs="Times New Roman"/>
          <w:b/>
          <w:bCs/>
          <w:kern w:val="2"/>
          <w:sz w:val="28"/>
          <w:szCs w:val="28"/>
          <w:lang w:val="en-US" w:eastAsia="zh-CN" w:bidi="ar-SA"/>
        </w:rPr>
      </w:pPr>
      <w:r>
        <w:rPr>
          <w:rFonts w:hint="eastAsia" w:ascii="新宋体" w:hAnsi="新宋体" w:eastAsia="新宋体" w:cs="Times New Roman"/>
          <w:b/>
          <w:bCs/>
          <w:kern w:val="2"/>
          <w:sz w:val="28"/>
          <w:szCs w:val="28"/>
          <w:lang w:val="en-US" w:eastAsia="zh-CN" w:bidi="ar-SA"/>
        </w:rPr>
        <w:t>4、本次竞价加（减）价阶梯为人民币：100元的整数倍（至少100元）。</w:t>
      </w:r>
    </w:p>
    <w:p w14:paraId="66DBDF05">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w:t>
      </w:r>
      <w:r>
        <w:rPr>
          <w:rFonts w:hint="eastAsia" w:ascii="新宋体" w:hAnsi="新宋体" w:eastAsia="新宋体" w:cs="Times New Roman"/>
          <w:sz w:val="28"/>
          <w:szCs w:val="28"/>
          <w:lang w:eastAsia="zh-CN"/>
        </w:rPr>
        <w:t>报价期</w:t>
      </w:r>
      <w:r>
        <w:rPr>
          <w:rFonts w:hint="eastAsia" w:ascii="新宋体" w:hAnsi="新宋体" w:eastAsia="新宋体" w:cs="Times New Roman"/>
          <w:sz w:val="28"/>
          <w:szCs w:val="28"/>
        </w:rPr>
        <w:t>组成。</w:t>
      </w:r>
    </w:p>
    <w:p w14:paraId="211FE4F5">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5年</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05月-30日</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结束后即进入延时报价期，</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可由多个延时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价周期组成，每个延时</w:t>
      </w:r>
      <w:r>
        <w:rPr>
          <w:rFonts w:hint="eastAsia" w:ascii="新宋体" w:hAnsi="新宋体" w:eastAsia="新宋体" w:cs="Times New Roman"/>
          <w:b/>
          <w:bCs/>
          <w:sz w:val="28"/>
          <w:szCs w:val="28"/>
          <w:lang w:val="en-US" w:eastAsia="zh-CN"/>
        </w:rPr>
        <w:t>报</w:t>
      </w:r>
      <w:r>
        <w:rPr>
          <w:rFonts w:hint="eastAsia" w:ascii="新宋体" w:hAnsi="新宋体" w:eastAsia="新宋体" w:cs="Times New Roman"/>
          <w:b/>
          <w:bCs/>
          <w:sz w:val="28"/>
          <w:szCs w:val="28"/>
        </w:rPr>
        <w:t>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3F2713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w:t>
      </w:r>
      <w:r>
        <w:rPr>
          <w:rFonts w:hint="eastAsia" w:ascii="新宋体" w:hAnsi="新宋体" w:eastAsia="新宋体" w:cs="Times New Roman"/>
          <w:b/>
          <w:bCs/>
          <w:sz w:val="28"/>
          <w:szCs w:val="28"/>
          <w:lang w:val="en-US" w:eastAsia="zh-CN"/>
        </w:rPr>
        <w:t>报价</w:t>
      </w:r>
      <w:r>
        <w:rPr>
          <w:rFonts w:hint="eastAsia" w:ascii="新宋体" w:hAnsi="新宋体" w:eastAsia="新宋体" w:cs="Times New Roman"/>
          <w:b/>
          <w:bCs/>
          <w:sz w:val="28"/>
          <w:szCs w:val="28"/>
        </w:rPr>
        <w:t>周期内如未出现新的有效报价，则当前有效报价方成为该次网络竞价活动的最高（低）报价方。</w:t>
      </w:r>
    </w:p>
    <w:p w14:paraId="26A90C67">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lang w:val="en-US" w:eastAsia="zh-CN"/>
        </w:rPr>
        <w:t>网站</w:t>
      </w:r>
      <w:r>
        <w:rPr>
          <w:rFonts w:hint="eastAsia" w:ascii="新宋体" w:hAnsi="新宋体" w:eastAsia="新宋体" w:cs="Times New Roman"/>
          <w:b/>
          <w:bCs/>
          <w:sz w:val="28"/>
          <w:szCs w:val="28"/>
        </w:rPr>
        <w:t>记录即视为有效报价，竞买方不可变更或撤销。</w:t>
      </w:r>
    </w:p>
    <w:p w14:paraId="38DFF6C3">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24C40EE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，密切观察交易动态，以确定信息公告的标的是否转为网络竞价状态，并参与竞拍。竞买方不得以不知道交易公告的标的转为网络竞价为由提出任何异议。</w:t>
      </w:r>
    </w:p>
    <w:p w14:paraId="701EB30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694B52B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2E1F8711">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w:t>
      </w:r>
    </w:p>
    <w:p w14:paraId="22F263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发布的竞价活动相关信息的；</w:t>
      </w:r>
    </w:p>
    <w:p w14:paraId="5409309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2001EDD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7FDF9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2E528B5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39647FD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2CFF83DA">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当即与出租（转让）方协商后续方案，并将结果及时通知各竞买方，</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运营单位有权中止（冻结）或重新竞拍标的物竞价活动，待问题解决后依程序再行恢复竞价活动，同时</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不承担任何责任。主要行为包括但不限于以下：</w:t>
      </w:r>
    </w:p>
    <w:p w14:paraId="6130F4F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5AE085A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5D48CE9E">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48349E89">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43FCAB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服务器、</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运营单位办公区域出现不可抗力因素导致无法正常实施网络交易活动；</w:t>
      </w:r>
    </w:p>
    <w:p w14:paraId="789D256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w:t>
      </w:r>
      <w:r>
        <w:rPr>
          <w:rFonts w:hint="eastAsia" w:ascii="新宋体" w:hAnsi="新宋体" w:eastAsia="新宋体" w:cs="Times New Roman"/>
          <w:b/>
          <w:bCs/>
          <w:sz w:val="28"/>
          <w:szCs w:val="28"/>
          <w:lang w:eastAsia="zh-CN"/>
        </w:rPr>
        <w:t>报价期</w:t>
      </w:r>
      <w:r>
        <w:rPr>
          <w:rFonts w:hint="eastAsia" w:ascii="新宋体" w:hAnsi="新宋体" w:eastAsia="新宋体" w:cs="Times New Roman"/>
          <w:b/>
          <w:bCs/>
          <w:sz w:val="28"/>
          <w:szCs w:val="28"/>
        </w:rPr>
        <w:t>结束时间周期等设置错误的；</w:t>
      </w:r>
    </w:p>
    <w:p w14:paraId="5BFDADA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运营单位或委托人核实的其他原因；</w:t>
      </w:r>
    </w:p>
    <w:p w14:paraId="68EF673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认为需要中止网络竞价活动的其他情形。</w:t>
      </w:r>
    </w:p>
    <w:p w14:paraId="4F86B16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应当解除冻结，恢复交易。在信息公告阶段中止（冻结）交易的，解除冻结后，信息公告期限应顺延，顺延时间不少于冻结交易的时间；在网络竞价阶段中止（冻结）或重新竞拍交易的，解除冻结后，系统开始新一轮的竞价。</w:t>
      </w:r>
    </w:p>
    <w:p w14:paraId="59D261E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将按照出租（转让）方要求的时间和方式继续竞价或重新竞价，</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通知各竞买方。</w:t>
      </w:r>
    </w:p>
    <w:p w14:paraId="0FB834E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网站服务异常、竞价活动异常的，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可以根据相关约定重新组织实施竞价或再次发布转让信息公告。</w:t>
      </w:r>
    </w:p>
    <w:p w14:paraId="63C0E1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运营单位应当终止</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交易活动，待问题解决后依程序重新实施竞拍活动：</w:t>
      </w:r>
    </w:p>
    <w:p w14:paraId="26AC06F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45387B5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12EB01A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4484FFC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62AC880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或委托方核实的其他情形。</w:t>
      </w:r>
    </w:p>
    <w:p w14:paraId="305646B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运营单位应当在</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发布相关信息。竞买方可以通过邮件、电话联系等方式或者直接向运营单位咨询，以获得标的中止（冻结）交易和解除冻结的相关信息。</w:t>
      </w:r>
    </w:p>
    <w:p w14:paraId="2CA4078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有权中止、取消其竞得资格，并将其列入</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黑名单；造成</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及相关方损失的，由竞买方依法承担赔偿损失等法律责任。</w:t>
      </w:r>
    </w:p>
    <w:p w14:paraId="15002FD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注册登记的要求提供有关文件材料、提供虚假文件或隐瞒事实的；</w:t>
      </w:r>
    </w:p>
    <w:p w14:paraId="40DE5A3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78A7481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058FC213">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ECEAF2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造成损失的；</w:t>
      </w:r>
    </w:p>
    <w:p w14:paraId="414A6D3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559C1AF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35634298">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3CB4458F">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出具的《标的竞得书》为准。</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在竞价结束的2个工作日内向竞得方出具《标的竞得书》。（注：对于农垦资产出租（转让）只有一个竞买方参与竞拍的，需先由委托单位根据有关规定报海垦集团批准后，</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才能出具《标的竞得书》），竞得人凭《标的竞得书》与委托单位在3个工作日内（或按公告要求的时限）签订交易合同，</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对合同内容按规定进行形式审核，审核通过后解冻竞得人的交易保证金。竞得人需要在交易合同签订的</w:t>
      </w:r>
      <w:r>
        <w:rPr>
          <w:rFonts w:hint="eastAsia" w:ascii="新宋体" w:hAnsi="新宋体" w:eastAsia="新宋体" w:cs="Times New Roman"/>
          <w:b/>
          <w:bCs/>
          <w:sz w:val="28"/>
          <w:szCs w:val="28"/>
          <w:lang w:val="en-US" w:eastAsia="zh-CN"/>
        </w:rPr>
        <w:t>7</w:t>
      </w:r>
      <w:r>
        <w:rPr>
          <w:rFonts w:hint="eastAsia" w:ascii="新宋体" w:hAnsi="新宋体" w:eastAsia="新宋体" w:cs="Times New Roman"/>
          <w:b/>
          <w:bCs/>
          <w:sz w:val="28"/>
          <w:szCs w:val="28"/>
        </w:rPr>
        <w:t>个工作日内按规定标准缴纳交易服务费。</w:t>
      </w:r>
    </w:p>
    <w:p w14:paraId="39B19C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2C6B7C19">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73"/>
        <w:gridCol w:w="3726"/>
      </w:tblGrid>
      <w:tr w14:paraId="5649432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4473" w:type="dxa"/>
            <w:shd w:val="clear" w:color="auto" w:fill="FFFFFF"/>
            <w:vAlign w:val="center"/>
          </w:tcPr>
          <w:p w14:paraId="3185C6F0">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26" w:type="dxa"/>
            <w:shd w:val="clear" w:color="auto" w:fill="FFFFFF"/>
            <w:vAlign w:val="center"/>
          </w:tcPr>
          <w:p w14:paraId="3EBF119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11A53A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382FCE1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26" w:type="dxa"/>
            <w:shd w:val="clear" w:color="auto" w:fill="FFFFFF"/>
            <w:vAlign w:val="center"/>
          </w:tcPr>
          <w:p w14:paraId="0E3C978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5D91B0F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823B32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26" w:type="dxa"/>
            <w:shd w:val="clear" w:color="auto" w:fill="FFFFFF"/>
            <w:vAlign w:val="center"/>
          </w:tcPr>
          <w:p w14:paraId="55F582F3">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0FDE9B3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5CD4D8C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26" w:type="dxa"/>
            <w:shd w:val="clear" w:color="auto" w:fill="FFFFFF"/>
            <w:vAlign w:val="center"/>
          </w:tcPr>
          <w:p w14:paraId="404FB15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70908F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62" w:hRule="atLeast"/>
        </w:trPr>
        <w:tc>
          <w:tcPr>
            <w:tcW w:w="4473" w:type="dxa"/>
            <w:shd w:val="clear" w:color="auto" w:fill="FFFFFF"/>
            <w:vAlign w:val="center"/>
          </w:tcPr>
          <w:p w14:paraId="1A45C7EF">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26" w:type="dxa"/>
            <w:shd w:val="clear" w:color="auto" w:fill="FFFFFF"/>
            <w:vAlign w:val="center"/>
          </w:tcPr>
          <w:p w14:paraId="59933A1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78698C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76" w:hRule="atLeast"/>
        </w:trPr>
        <w:tc>
          <w:tcPr>
            <w:tcW w:w="4473" w:type="dxa"/>
            <w:shd w:val="clear" w:color="auto" w:fill="FFFFFF"/>
            <w:vAlign w:val="center"/>
          </w:tcPr>
          <w:p w14:paraId="308C930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26" w:type="dxa"/>
            <w:shd w:val="clear" w:color="auto" w:fill="FFFFFF"/>
            <w:vAlign w:val="center"/>
          </w:tcPr>
          <w:p w14:paraId="36914D3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7FD07F9E">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69D51C8F">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1、每笔交易最低收费300元；</w:t>
      </w:r>
    </w:p>
    <w:p w14:paraId="3A7711D5">
      <w:pPr>
        <w:pStyle w:val="12"/>
        <w:widowControl/>
        <w:shd w:val="clear" w:color="auto" w:fill="FFFFFF"/>
        <w:spacing w:beforeAutospacing="0" w:afterAutospacing="0" w:line="500" w:lineRule="exact"/>
        <w:ind w:firstLine="420"/>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58EAFD35">
      <w:pPr>
        <w:pStyle w:val="12"/>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w:t>
      </w:r>
      <w:r>
        <w:rPr>
          <w:rFonts w:hint="eastAsia" w:ascii="微软雅黑" w:hAnsi="微软雅黑" w:eastAsia="微软雅黑" w:cs="微软雅黑"/>
          <w:b/>
          <w:bCs/>
          <w:color w:val="C00000"/>
          <w:kern w:val="2"/>
          <w:sz w:val="27"/>
          <w:szCs w:val="27"/>
          <w:shd w:val="clear" w:color="auto" w:fill="FFFFFF"/>
          <w:lang w:eastAsia="zh-CN"/>
        </w:rPr>
        <w:t>（</w:t>
      </w:r>
      <w:r>
        <w:rPr>
          <w:rFonts w:hint="eastAsia" w:ascii="微软雅黑" w:hAnsi="微软雅黑" w:eastAsia="微软雅黑" w:cs="微软雅黑"/>
          <w:b/>
          <w:bCs/>
          <w:color w:val="C00000"/>
          <w:kern w:val="2"/>
          <w:sz w:val="27"/>
          <w:szCs w:val="27"/>
          <w:shd w:val="clear" w:color="auto" w:fill="FFFFFF"/>
          <w:lang w:val="en-US" w:eastAsia="zh-CN"/>
        </w:rPr>
        <w:t>含两人）</w:t>
      </w:r>
      <w:r>
        <w:rPr>
          <w:rFonts w:hint="eastAsia" w:ascii="微软雅黑" w:hAnsi="微软雅黑" w:eastAsia="微软雅黑" w:cs="微软雅黑"/>
          <w:b/>
          <w:bCs/>
          <w:color w:val="C00000"/>
          <w:kern w:val="2"/>
          <w:sz w:val="27"/>
          <w:szCs w:val="27"/>
          <w:shd w:val="clear" w:color="auto" w:fill="FFFFFF"/>
        </w:rPr>
        <w:t>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3"/>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99"/>
        <w:gridCol w:w="4460"/>
      </w:tblGrid>
      <w:tr w14:paraId="327CD01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55F2C8A8">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460" w:type="dxa"/>
            <w:shd w:val="clear" w:color="auto" w:fill="FFFFFF"/>
            <w:vAlign w:val="center"/>
          </w:tcPr>
          <w:p w14:paraId="4F7A95E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6DACB71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1C1F9CD7">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460" w:type="dxa"/>
            <w:shd w:val="clear" w:color="auto" w:fill="FFFFFF"/>
            <w:vAlign w:val="center"/>
          </w:tcPr>
          <w:p w14:paraId="7FA8B4A6">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01018CE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35D347D2">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460" w:type="dxa"/>
            <w:shd w:val="clear" w:color="auto" w:fill="FFFFFF"/>
            <w:vAlign w:val="center"/>
          </w:tcPr>
          <w:p w14:paraId="09B1C49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4C7E7D6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43C5C7B5">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460" w:type="dxa"/>
            <w:shd w:val="clear" w:color="auto" w:fill="FFFFFF"/>
            <w:vAlign w:val="center"/>
          </w:tcPr>
          <w:p w14:paraId="5DD8AC19">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30EFD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62" w:hRule="atLeast"/>
        </w:trPr>
        <w:tc>
          <w:tcPr>
            <w:tcW w:w="3799" w:type="dxa"/>
            <w:shd w:val="clear" w:color="auto" w:fill="FFFFFF"/>
            <w:vAlign w:val="center"/>
          </w:tcPr>
          <w:p w14:paraId="5FC07DAB">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460" w:type="dxa"/>
            <w:shd w:val="clear" w:color="auto" w:fill="FFFFFF"/>
            <w:vAlign w:val="center"/>
          </w:tcPr>
          <w:p w14:paraId="0D68453C">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6877D9E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rPr>
        <w:tc>
          <w:tcPr>
            <w:tcW w:w="3799" w:type="dxa"/>
            <w:shd w:val="clear" w:color="auto" w:fill="FFFFFF"/>
            <w:vAlign w:val="center"/>
          </w:tcPr>
          <w:p w14:paraId="30521DBA">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460" w:type="dxa"/>
            <w:shd w:val="clear" w:color="auto" w:fill="FFFFFF"/>
            <w:vAlign w:val="center"/>
          </w:tcPr>
          <w:p w14:paraId="6BC01E9E">
            <w:pPr>
              <w:pStyle w:val="12"/>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24D6D66">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注：</w:t>
      </w:r>
    </w:p>
    <w:p w14:paraId="587D4540">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1、每笔交易最低收费500元；</w:t>
      </w:r>
    </w:p>
    <w:p w14:paraId="292FD0CF">
      <w:pPr>
        <w:spacing w:line="520" w:lineRule="exact"/>
        <w:rPr>
          <w:rFonts w:hint="eastAsia" w:ascii="微软雅黑" w:hAnsi="微软雅黑" w:eastAsia="微软雅黑" w:cs="微软雅黑"/>
          <w:color w:val="333333"/>
          <w:kern w:val="2"/>
          <w:sz w:val="27"/>
          <w:szCs w:val="27"/>
          <w:shd w:val="clear" w:color="auto" w:fill="FFFFFF"/>
          <w:lang w:val="en-US" w:eastAsia="zh-CN" w:bidi="ar-SA"/>
        </w:rPr>
      </w:pPr>
      <w:r>
        <w:rPr>
          <w:rFonts w:hint="eastAsia" w:ascii="微软雅黑" w:hAnsi="微软雅黑" w:eastAsia="微软雅黑" w:cs="微软雅黑"/>
          <w:color w:val="333333"/>
          <w:kern w:val="2"/>
          <w:sz w:val="27"/>
          <w:szCs w:val="27"/>
          <w:shd w:val="clear" w:color="auto" w:fill="FFFFFF"/>
          <w:lang w:val="en-US" w:eastAsia="zh-CN" w:bidi="ar-SA"/>
        </w:rPr>
        <w:t>2、转出方为农户个人、村集体，免收该项费用。</w:t>
      </w:r>
    </w:p>
    <w:p w14:paraId="280E0A0C">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3"/>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0734CA64">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67489F8">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800EACA">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东方市农村产权交易中心有限公司</w:t>
            </w:r>
          </w:p>
        </w:tc>
      </w:tr>
      <w:tr w14:paraId="05238557">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21A5AC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6B43F34">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海南农商银行东方支行</w:t>
            </w:r>
          </w:p>
        </w:tc>
      </w:tr>
      <w:tr w14:paraId="5EF0FCC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85F2257">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3272B155">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1020156100000158</w:t>
            </w:r>
          </w:p>
        </w:tc>
      </w:tr>
    </w:tbl>
    <w:p w14:paraId="0D1E659A">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将按《东方农村产权交易中心交易保证金操作规则（试行）》有关规定办理。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3D99A49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w:t>
      </w:r>
      <w:r>
        <w:rPr>
          <w:rFonts w:hint="eastAsia" w:ascii="新宋体" w:hAnsi="新宋体" w:eastAsia="新宋体" w:cs="Times New Roman"/>
          <w:b/>
          <w:bCs/>
          <w:sz w:val="28"/>
          <w:szCs w:val="28"/>
          <w:lang w:eastAsia="zh-CN"/>
        </w:rPr>
        <w:t>农交中心</w:t>
      </w:r>
      <w:r>
        <w:rPr>
          <w:rFonts w:hint="eastAsia" w:ascii="新宋体" w:hAnsi="新宋体" w:eastAsia="新宋体" w:cs="Times New Roman"/>
          <w:b/>
          <w:bCs/>
          <w:sz w:val="28"/>
          <w:szCs w:val="28"/>
        </w:rPr>
        <w:t>有权扣除交易保证金作为相关方的补偿。</w:t>
      </w:r>
    </w:p>
    <w:p w14:paraId="102DC5F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4087C1B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5C6B7A62">
      <w:pPr>
        <w:spacing w:line="520" w:lineRule="exact"/>
        <w:ind w:firstLine="560" w:firstLineChars="200"/>
        <w:rPr>
          <w:rFonts w:hint="eastAsia"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所有，</w:t>
      </w:r>
      <w:r>
        <w:rPr>
          <w:rFonts w:hint="eastAsia" w:ascii="新宋体" w:hAnsi="新宋体" w:eastAsia="新宋体" w:cs="Times New Roman"/>
          <w:sz w:val="28"/>
          <w:szCs w:val="28"/>
          <w:lang w:eastAsia="zh-CN"/>
        </w:rPr>
        <w:t>农交中心</w:t>
      </w:r>
      <w:r>
        <w:rPr>
          <w:rFonts w:hint="eastAsia" w:ascii="新宋体" w:hAnsi="新宋体" w:eastAsia="新宋体" w:cs="Times New Roman"/>
          <w:sz w:val="28"/>
          <w:szCs w:val="28"/>
        </w:rPr>
        <w:t>有权根据相关法律、法规进行变更和修订。</w:t>
      </w:r>
    </w:p>
    <w:p w14:paraId="0F038479">
      <w:pPr>
        <w:bidi w:val="0"/>
      </w:pPr>
    </w:p>
    <w:p w14:paraId="5ED27F76">
      <w:pPr>
        <w:spacing w:line="520" w:lineRule="exact"/>
        <w:rPr>
          <w:rFonts w:hint="eastAsia"/>
        </w:rPr>
      </w:pPr>
      <w:r>
        <w:rPr>
          <w:rFonts w:hint="eastAsia" w:ascii="Times New Roman" w:hAnsi="Times New Roman"/>
          <w:sz w:val="32"/>
          <w:szCs w:val="32"/>
        </w:rPr>
        <w:t>已详细阅读此竞价须知，对此竞价须知无异议。</w:t>
      </w:r>
    </w:p>
    <w:p w14:paraId="4CD8A2B3">
      <w:pPr>
        <w:spacing w:line="520" w:lineRule="exact"/>
        <w:ind w:firstLine="3200" w:firstLineChars="1000"/>
        <w:rPr>
          <w:rFonts w:hint="eastAsia" w:ascii="Times New Roman" w:hAnsi="Times New Roman"/>
          <w:sz w:val="32"/>
          <w:szCs w:val="32"/>
        </w:rPr>
      </w:pPr>
    </w:p>
    <w:p w14:paraId="2AC4CB1C">
      <w:pPr>
        <w:spacing w:line="520" w:lineRule="exact"/>
        <w:ind w:firstLine="3200" w:firstLineChars="1000"/>
        <w:rPr>
          <w:rFonts w:hint="eastAsia" w:ascii="Times New Roman" w:hAnsi="Times New Roman"/>
          <w:sz w:val="32"/>
          <w:szCs w:val="32"/>
        </w:rPr>
      </w:pPr>
    </w:p>
    <w:p w14:paraId="3904B635">
      <w:pPr>
        <w:spacing w:line="520" w:lineRule="exact"/>
        <w:ind w:firstLine="3840" w:firstLineChars="1200"/>
        <w:rPr>
          <w:rFonts w:hint="eastAsia" w:ascii="Times New Roman" w:hAnsi="Times New Roman"/>
          <w:sz w:val="32"/>
          <w:szCs w:val="32"/>
        </w:rPr>
      </w:pPr>
      <w:r>
        <w:rPr>
          <w:rFonts w:hint="eastAsia" w:ascii="Times New Roman" w:hAnsi="Times New Roman"/>
          <w:sz w:val="32"/>
          <w:szCs w:val="32"/>
        </w:rPr>
        <w:t>签字（盖章）确认：</w:t>
      </w:r>
    </w:p>
    <w:p w14:paraId="23B6C5FB">
      <w:pPr>
        <w:spacing w:line="520" w:lineRule="exact"/>
        <w:ind w:firstLine="3840" w:firstLineChars="1200"/>
        <w:rPr>
          <w:rFonts w:ascii="黑体" w:hAnsi="黑体"/>
          <w:color w:val="000000"/>
        </w:rPr>
      </w:pPr>
      <w:r>
        <w:rPr>
          <w:rFonts w:hint="eastAsia" w:ascii="Times New Roman" w:hAnsi="Times New Roman" w:eastAsiaTheme="minorEastAsia" w:cstheme="minorBidi"/>
          <w:b w:val="0"/>
          <w:kern w:val="2"/>
          <w:sz w:val="32"/>
          <w:szCs w:val="32"/>
          <w:lang w:val="en-US" w:eastAsia="zh-CN" w:bidi="ar-SA"/>
        </w:rPr>
        <w:t>日期：     年     月   日</w:t>
      </w:r>
    </w:p>
    <w:p w14:paraId="3D45EA94">
      <w:pPr>
        <w:pStyle w:val="4"/>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15AB0BC9">
      <w:pPr>
        <w:pStyle w:val="4"/>
        <w:spacing w:line="240" w:lineRule="auto"/>
        <w:jc w:val="center"/>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136A5DD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东方农村产权交易中心</w:t>
      </w:r>
      <w:r>
        <w:rPr>
          <w:rFonts w:hint="eastAsia" w:ascii="Times New Roman" w:hAnsi="Times New Roman"/>
          <w:sz w:val="28"/>
          <w:szCs w:val="28"/>
        </w:rPr>
        <w:t>：</w:t>
      </w:r>
    </w:p>
    <w:p w14:paraId="39B30193">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东方市大田镇抱板村红泉6队路口55.85亩集体土地流转</w:t>
      </w:r>
      <w:r>
        <w:rPr>
          <w:rFonts w:ascii="Times New Roman" w:hAnsi="Times New Roman"/>
          <w:sz w:val="28"/>
          <w:szCs w:val="28"/>
        </w:rPr>
        <w:t>”</w:t>
      </w:r>
      <w:r>
        <w:rPr>
          <w:rFonts w:hint="eastAsia" w:ascii="Times New Roman" w:hAnsi="Times New Roman"/>
          <w:sz w:val="28"/>
          <w:szCs w:val="28"/>
        </w:rPr>
        <w:t>项目网络竞价活动作出如下承诺：</w:t>
      </w:r>
    </w:p>
    <w:p w14:paraId="0218319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东方市大田镇抱板村红泉6队路口55.85亩集体土地流转</w:t>
      </w:r>
      <w:r>
        <w:rPr>
          <w:rFonts w:ascii="Times New Roman" w:hAnsi="Times New Roman"/>
          <w:sz w:val="28"/>
          <w:szCs w:val="28"/>
        </w:rPr>
        <w:t>”</w:t>
      </w:r>
      <w:r>
        <w:rPr>
          <w:rFonts w:hint="eastAsia" w:ascii="Times New Roman" w:hAnsi="Times New Roman"/>
          <w:sz w:val="28"/>
          <w:szCs w:val="28"/>
        </w:rPr>
        <w:t>项目网络竞价活动，并参与报价。</w:t>
      </w:r>
    </w:p>
    <w:p w14:paraId="559CE81A">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东方市大田镇抱板村红泉6队路口55.85亩集体土地流转</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东方</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0436475B">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Times New Roman" w:hAnsi="Times New Roman"/>
          <w:sz w:val="28"/>
          <w:szCs w:val="28"/>
          <w:lang w:val="en-US" w:eastAsia="zh-CN"/>
        </w:rPr>
        <w:t>东方</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中心（以下简称“农交中心”）网站</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dongfang</w:t>
      </w:r>
      <w:r>
        <w:rPr>
          <w:rFonts w:hint="eastAsia" w:ascii="新宋体" w:hAnsi="新宋体" w:eastAsia="新宋体" w:cs="Times New Roman"/>
          <w:sz w:val="28"/>
          <w:szCs w:val="28"/>
        </w:rPr>
        <w:t>.nongjiao.com）</w:t>
      </w:r>
      <w:r>
        <w:rPr>
          <w:rFonts w:hint="eastAsia" w:ascii="Times New Roman" w:hAnsi="Times New Roman"/>
          <w:sz w:val="28"/>
          <w:szCs w:val="28"/>
        </w:rPr>
        <w:t>无关。</w:t>
      </w:r>
    </w:p>
    <w:p w14:paraId="7036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eastAsia="zh-CN"/>
        </w:rPr>
        <w:t>农交中心</w:t>
      </w:r>
      <w:r>
        <w:rPr>
          <w:rFonts w:hint="eastAsia" w:ascii="Times New Roman" w:hAnsi="Times New Roman"/>
          <w:sz w:val="28"/>
          <w:szCs w:val="28"/>
        </w:rPr>
        <w:t>有权根据《网络竞价须知》的规定扣除保证金。</w:t>
      </w:r>
    </w:p>
    <w:p w14:paraId="5E04F81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农交</w:t>
      </w:r>
      <w:r>
        <w:rPr>
          <w:rFonts w:hint="eastAsia" w:ascii="Times New Roman" w:hAnsi="Times New Roman"/>
          <w:sz w:val="28"/>
          <w:szCs w:val="28"/>
          <w:lang w:eastAsia="zh-CN"/>
        </w:rPr>
        <w:t>中心</w:t>
      </w:r>
      <w:r>
        <w:rPr>
          <w:rFonts w:hint="eastAsia" w:ascii="Times New Roman" w:hAnsi="Times New Roman"/>
          <w:sz w:val="28"/>
          <w:szCs w:val="28"/>
        </w:rPr>
        <w:t>书面通知要求与出租（转让）方签署交易合同，并按《产权交易结算通知书》的约定支付交易价款。</w:t>
      </w:r>
    </w:p>
    <w:p w14:paraId="0939825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4B06870B">
      <w:pPr>
        <w:pStyle w:val="11"/>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0E86AE10">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0FA7197E">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03726C50">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1101DE09">
      <w:pPr>
        <w:pStyle w:val="4"/>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143FA425">
      <w:pPr>
        <w:rPr>
          <w:rFonts w:ascii="仿宋_GB2312" w:hAnsi="仿宋_GB2312" w:eastAsia="仿宋_GB2312" w:cs="仿宋_GB2312"/>
          <w:color w:val="000000"/>
          <w:sz w:val="36"/>
          <w:szCs w:val="30"/>
        </w:rPr>
      </w:pPr>
    </w:p>
    <w:p w14:paraId="2AF0C109">
      <w:pPr>
        <w:rPr>
          <w:rFonts w:ascii="仿宋_GB2312" w:hAnsi="仿宋_GB2312" w:eastAsia="仿宋_GB2312" w:cs="仿宋_GB2312"/>
          <w:color w:val="000000"/>
          <w:sz w:val="30"/>
          <w:szCs w:val="30"/>
        </w:rPr>
      </w:pPr>
    </w:p>
    <w:p w14:paraId="6A6D56B0">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5E211D9">
      <w:pPr>
        <w:rPr>
          <w:rFonts w:ascii="仿宋_GB2312" w:hAnsi="仿宋_GB2312" w:eastAsia="仿宋_GB2312" w:cs="仿宋_GB2312"/>
          <w:b/>
          <w:color w:val="000000"/>
          <w:sz w:val="30"/>
          <w:szCs w:val="30"/>
        </w:rPr>
      </w:pPr>
    </w:p>
    <w:p w14:paraId="2D7C18BD">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5E25A2E">
      <w:pPr>
        <w:rPr>
          <w:rFonts w:ascii="仿宋_GB2312" w:hAnsi="仿宋_GB2312" w:eastAsia="仿宋_GB2312" w:cs="仿宋_GB2312"/>
          <w:b/>
          <w:color w:val="000000"/>
          <w:sz w:val="30"/>
          <w:szCs w:val="30"/>
          <w:u w:val="single"/>
        </w:rPr>
      </w:pPr>
    </w:p>
    <w:p w14:paraId="4620B27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844165"/>
                <wp:effectExtent l="4445" t="4445" r="14605" b="8890"/>
                <wp:wrapNone/>
                <wp:docPr id="128" name="矩形 128"/>
                <wp:cNvGraphicFramePr/>
                <a:graphic xmlns:a="http://schemas.openxmlformats.org/drawingml/2006/main">
                  <a:graphicData uri="http://schemas.microsoft.com/office/word/2010/wordprocessingShape">
                    <wps:wsp>
                      <wps:cNvSpPr/>
                      <wps:spPr>
                        <a:xfrm>
                          <a:off x="0" y="0"/>
                          <a:ext cx="6057900" cy="2844165"/>
                        </a:xfrm>
                        <a:prstGeom prst="rect">
                          <a:avLst/>
                        </a:prstGeom>
                        <a:solidFill>
                          <a:srgbClr val="FFFFFF"/>
                        </a:solidFill>
                        <a:ln w="9525" cap="flat" cmpd="sng">
                          <a:solidFill>
                            <a:schemeClr val="tx1"/>
                          </a:solidFill>
                          <a:prstDash val="dash"/>
                          <a:miter/>
                          <a:headEnd type="none" w="med" len="med"/>
                          <a:tailEnd type="none" w="med" len="med"/>
                        </a:ln>
                        <a:effectLst/>
                      </wps:spPr>
                      <wps:txb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23.95pt;width:477pt;z-index:251659264;mso-width-relative:page;mso-height-relative:page;" fillcolor="#FFFFFF" filled="t" stroked="t" coordsize="21600,21600" o:gfxdata="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jihK2QAAAAoBAAAPAAAAAAAAAAEAIAAAACIA&#10;AABkcnMvZG93bnJldi54bWxQSwECFAAUAAAACACHTuJAvW60IggCAAA7BAAADgAAAAAAAAABACAA&#10;AAAoAQAAZHJzL2Uyb0RvYy54bWxQSwUGAAAAAAYABgBZAQAAogUAAAAA&#10;">
                <v:fill on="t" focussize="0,0"/>
                <v:stroke color="#000000 [3213]" joinstyle="miter" dashstyle="dash"/>
                <v:imagedata o:title=""/>
                <o:lock v:ext="edit" aspectratio="f"/>
                <v:textbox>
                  <w:txbxContent>
                    <w:p w14:paraId="1DAC9030">
                      <w:pPr>
                        <w:jc w:val="center"/>
                        <w:rPr>
                          <w:b/>
                          <w:sz w:val="42"/>
                        </w:rPr>
                      </w:pPr>
                    </w:p>
                    <w:p w14:paraId="4E38AF4A">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19891430">
                      <w:pPr>
                        <w:rPr>
                          <w:rFonts w:ascii="仿宋_GB2312" w:hAnsi="仿宋_GB2312" w:eastAsia="仿宋_GB2312" w:cs="仿宋_GB2312"/>
                          <w:sz w:val="24"/>
                        </w:rPr>
                      </w:pPr>
                    </w:p>
                    <w:p w14:paraId="1BFCE445">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《东方农村产权交易中心农村产权交易规则（试行）</w:t>
                      </w:r>
                      <w:r>
                        <w:rPr>
                          <w:rFonts w:hint="eastAsia" w:ascii="仿宋_GB2312" w:hAnsi="仿宋_GB2312" w:eastAsia="仿宋_GB2312" w:cs="仿宋_GB2312"/>
                          <w:sz w:val="24"/>
                        </w:rPr>
                        <w:t>》及相关规定。</w:t>
                      </w:r>
                    </w:p>
                    <w:p w14:paraId="516F607D">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7C6D7991">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920B4C3">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09DEA7E6">
      <w:pPr>
        <w:rPr>
          <w:rFonts w:ascii="仿宋_GB2312" w:hAnsi="仿宋_GB2312" w:eastAsia="仿宋_GB2312" w:cs="仿宋_GB2312"/>
          <w:color w:val="000000"/>
          <w:sz w:val="30"/>
          <w:szCs w:val="30"/>
        </w:rPr>
      </w:pPr>
    </w:p>
    <w:p w14:paraId="398E9067">
      <w:pPr>
        <w:rPr>
          <w:rFonts w:ascii="仿宋_GB2312" w:hAnsi="仿宋_GB2312" w:eastAsia="仿宋_GB2312" w:cs="仿宋_GB2312"/>
          <w:color w:val="000000"/>
          <w:sz w:val="30"/>
          <w:szCs w:val="30"/>
        </w:rPr>
      </w:pPr>
    </w:p>
    <w:p w14:paraId="0DD07853">
      <w:pPr>
        <w:rPr>
          <w:rFonts w:ascii="仿宋_GB2312" w:hAnsi="仿宋_GB2312" w:eastAsia="仿宋_GB2312" w:cs="仿宋_GB2312"/>
          <w:color w:val="000000"/>
          <w:sz w:val="30"/>
          <w:szCs w:val="30"/>
        </w:rPr>
      </w:pPr>
    </w:p>
    <w:p w14:paraId="77DADB64">
      <w:pPr>
        <w:rPr>
          <w:rFonts w:ascii="仿宋_GB2312" w:hAnsi="仿宋_GB2312" w:eastAsia="仿宋_GB2312" w:cs="仿宋_GB2312"/>
          <w:color w:val="000000"/>
          <w:sz w:val="30"/>
          <w:szCs w:val="30"/>
        </w:rPr>
      </w:pPr>
    </w:p>
    <w:p w14:paraId="20301932">
      <w:pPr>
        <w:rPr>
          <w:rFonts w:ascii="仿宋_GB2312" w:hAnsi="仿宋_GB2312" w:eastAsia="仿宋_GB2312" w:cs="仿宋_GB2312"/>
          <w:color w:val="000000"/>
          <w:sz w:val="30"/>
          <w:szCs w:val="30"/>
        </w:rPr>
      </w:pPr>
    </w:p>
    <w:p w14:paraId="2F34FFFC">
      <w:pPr>
        <w:rPr>
          <w:rFonts w:ascii="仿宋_GB2312" w:hAnsi="仿宋_GB2312" w:eastAsia="仿宋_GB2312" w:cs="仿宋_GB2312"/>
          <w:color w:val="000000"/>
          <w:sz w:val="30"/>
          <w:szCs w:val="30"/>
        </w:rPr>
      </w:pPr>
    </w:p>
    <w:p w14:paraId="46FEDADA">
      <w:pPr>
        <w:rPr>
          <w:rFonts w:ascii="仿宋_GB2312" w:hAnsi="仿宋_GB2312" w:eastAsia="仿宋_GB2312" w:cs="仿宋_GB2312"/>
          <w:color w:val="000000"/>
          <w:sz w:val="30"/>
          <w:szCs w:val="30"/>
        </w:rPr>
      </w:pPr>
    </w:p>
    <w:p w14:paraId="03B6AF17">
      <w:pPr>
        <w:pStyle w:val="6"/>
      </w:pPr>
    </w:p>
    <w:p w14:paraId="2FD7DFFA">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东方农村产权交易中心</w:t>
      </w:r>
      <w:r>
        <w:rPr>
          <w:rFonts w:hint="eastAsia" w:ascii="仿宋_GB2312" w:hAnsi="仿宋_GB2312" w:eastAsia="仿宋_GB2312" w:cs="仿宋_GB2312"/>
          <w:b/>
          <w:color w:val="000000"/>
          <w:sz w:val="36"/>
          <w:szCs w:val="30"/>
        </w:rPr>
        <w:t>制</w:t>
      </w:r>
    </w:p>
    <w:p w14:paraId="474623D0">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 xml:space="preserve"> 05</w:t>
      </w:r>
      <w:r>
        <w:rPr>
          <w:rFonts w:hint="eastAsia" w:ascii="仿宋_GB2312" w:hAnsi="仿宋_GB2312" w:eastAsia="仿宋_GB2312" w:cs="仿宋_GB2312"/>
          <w:b/>
          <w:color w:val="000000"/>
          <w:sz w:val="36"/>
          <w:szCs w:val="30"/>
        </w:rPr>
        <w:t>月</w:t>
      </w:r>
    </w:p>
    <w:p w14:paraId="44047019">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6134F090">
      <w:pPr>
        <w:pStyle w:val="4"/>
        <w:spacing w:line="400" w:lineRule="exact"/>
        <w:rPr>
          <w:rFonts w:ascii="仿宋" w:hAnsi="仿宋"/>
          <w:bCs/>
          <w:szCs w:val="36"/>
        </w:rPr>
      </w:pPr>
      <w:r>
        <w:rPr>
          <w:rFonts w:hint="eastAsia"/>
          <w:bCs/>
          <w:szCs w:val="36"/>
        </w:rPr>
        <w:t>意向承租（受让）函</w:t>
      </w:r>
    </w:p>
    <w:p w14:paraId="0BBF9B4D">
      <w:pPr>
        <w:rPr>
          <w:rFonts w:ascii="Times New Roman" w:hAnsi="Times New Roman" w:eastAsia="黑体"/>
          <w:bCs/>
          <w:sz w:val="24"/>
        </w:rPr>
      </w:pPr>
      <w:r>
        <w:rPr>
          <w:rFonts w:hint="eastAsia" w:ascii="Times New Roman" w:hAnsi="Times New Roman" w:eastAsia="黑体"/>
          <w:sz w:val="24"/>
          <w:lang w:val="en-US" w:eastAsia="zh-CN"/>
        </w:rPr>
        <w:t>东方农村产权交易中心</w:t>
      </w:r>
      <w:r>
        <w:rPr>
          <w:rFonts w:hint="eastAsia" w:ascii="Times New Roman" w:hAnsi="Times New Roman" w:eastAsia="黑体"/>
          <w:sz w:val="24"/>
        </w:rPr>
        <w:t>：</w:t>
      </w:r>
    </w:p>
    <w:p w14:paraId="7BB5CB8B">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东方</w:t>
      </w:r>
      <w:r>
        <w:rPr>
          <w:rFonts w:hint="eastAsia" w:ascii="Times New Roman" w:hAnsi="Times New Roman"/>
          <w:bCs/>
          <w:sz w:val="24"/>
        </w:rPr>
        <w:t>农村产权交易</w:t>
      </w:r>
      <w:r>
        <w:rPr>
          <w:rFonts w:hint="eastAsia" w:ascii="Times New Roman" w:hAnsi="Times New Roman"/>
          <w:bCs/>
          <w:sz w:val="24"/>
          <w:lang w:val="en-US" w:eastAsia="zh-CN"/>
        </w:rPr>
        <w:t>中心（以下简称“农交中心”）网站</w:t>
      </w:r>
      <w:r>
        <w:rPr>
          <w:rFonts w:hint="eastAsia" w:ascii="Times New Roman" w:hAnsi="Times New Roman"/>
          <w:bCs/>
          <w:sz w:val="24"/>
        </w:rPr>
        <w:t>（http://</w:t>
      </w:r>
      <w:r>
        <w:rPr>
          <w:rFonts w:hint="eastAsia" w:ascii="Times New Roman" w:hAnsi="Times New Roman"/>
          <w:bCs/>
          <w:sz w:val="24"/>
          <w:lang w:val="en-US" w:eastAsia="zh-CN"/>
        </w:rPr>
        <w:t>dongfang</w:t>
      </w:r>
      <w:r>
        <w:rPr>
          <w:rFonts w:hint="eastAsia" w:ascii="Times New Roman" w:hAnsi="Times New Roman"/>
          <w:bCs/>
          <w:sz w:val="24"/>
        </w:rPr>
        <w:t>.nongjiao.com）申请承租（受让）</w:t>
      </w:r>
      <w:r>
        <w:rPr>
          <w:rFonts w:hint="eastAsia" w:ascii="新宋体" w:hAnsi="新宋体" w:eastAsia="新宋体"/>
          <w:b/>
          <w:bCs/>
          <w:color w:val="C00000"/>
          <w:sz w:val="28"/>
          <w:szCs w:val="28"/>
          <w:u w:val="single"/>
          <w:lang w:val="en-US" w:eastAsia="zh-CN"/>
        </w:rPr>
        <w:t>东方市大田镇抱板村红泉6队路口55.85亩集体土地流转</w:t>
      </w:r>
      <w:r>
        <w:rPr>
          <w:rFonts w:hint="eastAsia" w:ascii="Times New Roman" w:hAnsi="Times New Roman"/>
          <w:bCs/>
          <w:sz w:val="24"/>
        </w:rPr>
        <w:t>，并承诺：</w:t>
      </w:r>
    </w:p>
    <w:p w14:paraId="3F2F2E1A">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63BA4DDC">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5F676ED">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0D1B1586">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w:t>
      </w:r>
      <w:r>
        <w:rPr>
          <w:rFonts w:hint="eastAsia" w:ascii="Times New Roman" w:hAnsi="Times New Roman"/>
          <w:b/>
          <w:sz w:val="24"/>
          <w:lang w:eastAsia="zh-CN"/>
        </w:rPr>
        <w:t>农交中心</w:t>
      </w:r>
      <w:r>
        <w:rPr>
          <w:rFonts w:hint="eastAsia" w:ascii="Times New Roman" w:hAnsi="Times New Roman"/>
          <w:b/>
          <w:sz w:val="24"/>
        </w:rPr>
        <w:t>的交易规则，并充分理解和认可，同意按照贵</w:t>
      </w:r>
      <w:r>
        <w:rPr>
          <w:rFonts w:hint="eastAsia" w:ascii="Times New Roman" w:hAnsi="Times New Roman"/>
          <w:b/>
          <w:sz w:val="24"/>
          <w:lang w:eastAsia="zh-CN"/>
        </w:rPr>
        <w:t>农交中心</w:t>
      </w:r>
      <w:r>
        <w:rPr>
          <w:rFonts w:hint="eastAsia" w:ascii="Times New Roman" w:hAnsi="Times New Roman"/>
          <w:b/>
          <w:sz w:val="24"/>
        </w:rPr>
        <w:t>《东方农村产权交易中心农村产权交易规则（试行）》等相关规定实施农村产权流转活动；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0C70F4EC">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w:t>
      </w:r>
      <w:r>
        <w:rPr>
          <w:rFonts w:hint="eastAsia" w:ascii="Times New Roman" w:hAnsi="Times New Roman"/>
          <w:b/>
          <w:sz w:val="24"/>
          <w:lang w:eastAsia="zh-CN"/>
        </w:rPr>
        <w:t>农交中心</w:t>
      </w:r>
      <w:r>
        <w:rPr>
          <w:rFonts w:hint="eastAsia" w:ascii="Times New Roman" w:hAnsi="Times New Roman"/>
          <w:b/>
          <w:sz w:val="24"/>
        </w:rPr>
        <w:t>的收费项目及标准，同意按规定交纳相关费用。</w:t>
      </w:r>
    </w:p>
    <w:p w14:paraId="11E66956">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3A43A4FB">
      <w:pPr>
        <w:spacing w:line="440" w:lineRule="exact"/>
        <w:ind w:firstLine="482" w:firstLineChars="200"/>
        <w:rPr>
          <w:rFonts w:ascii="Times New Roman" w:hAnsi="Times New Roman"/>
          <w:b/>
          <w:sz w:val="24"/>
        </w:rPr>
      </w:pPr>
      <w:bookmarkStart w:id="17" w:name="_Toc13357"/>
      <w:bookmarkStart w:id="18" w:name="_Toc28981"/>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512E53AC">
      <w:pPr>
        <w:pStyle w:val="6"/>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0618ACB0">
      <w:pPr>
        <w:spacing w:line="440" w:lineRule="exact"/>
        <w:ind w:firstLine="482" w:firstLineChars="200"/>
        <w:rPr>
          <w:rFonts w:ascii="Times New Roman" w:hAnsi="Times New Roman"/>
          <w:b/>
          <w:sz w:val="24"/>
        </w:rPr>
      </w:pPr>
      <w:r>
        <w:rPr>
          <w:rFonts w:hint="eastAsia" w:ascii="Times New Roman" w:hAnsi="Times New Roman"/>
          <w:b/>
          <w:sz w:val="24"/>
        </w:rPr>
        <w:t>9、我方承诺按</w:t>
      </w:r>
      <w:r>
        <w:rPr>
          <w:rFonts w:hint="eastAsia" w:ascii="Times New Roman" w:hAnsi="Times New Roman"/>
          <w:b/>
          <w:sz w:val="24"/>
          <w:lang w:eastAsia="zh-CN"/>
        </w:rPr>
        <w:t>农交中心</w:t>
      </w:r>
      <w:r>
        <w:rPr>
          <w:rFonts w:hint="eastAsia" w:ascii="Times New Roman" w:hAnsi="Times New Roman"/>
          <w:b/>
          <w:sz w:val="24"/>
        </w:rPr>
        <w:t>规定交纳交易保证金，若我方无故放弃本项目或因我方自身原因放弃本项目的，视为违约，我方交纳的交易保证金将不予退还，作为违约金扣除。</w:t>
      </w:r>
    </w:p>
    <w:p w14:paraId="3496328C">
      <w:pPr>
        <w:pStyle w:val="6"/>
        <w:spacing w:line="440" w:lineRule="exact"/>
        <w:rPr>
          <w:rFonts w:ascii="Times New Roman" w:hAnsi="Times New Roman"/>
          <w:bCs/>
          <w:sz w:val="28"/>
          <w:szCs w:val="24"/>
        </w:rPr>
      </w:pPr>
      <w:bookmarkStart w:id="20" w:name="_Toc7009"/>
      <w:bookmarkStart w:id="21" w:name="_Toc24611"/>
      <w:bookmarkStart w:id="22" w:name="_Toc31003"/>
      <w:r>
        <w:rPr>
          <w:rFonts w:hint="eastAsia" w:ascii="Times New Roman" w:hAnsi="Times New Roman"/>
          <w:b/>
          <w:sz w:val="24"/>
          <w:szCs w:val="24"/>
        </w:rPr>
        <w:t>10、最终解释权归</w:t>
      </w:r>
      <w:r>
        <w:rPr>
          <w:rFonts w:hint="eastAsia" w:ascii="Times New Roman" w:hAnsi="Times New Roman"/>
          <w:b/>
          <w:sz w:val="24"/>
          <w:szCs w:val="24"/>
          <w:lang w:val="en-US" w:eastAsia="zh-CN"/>
        </w:rPr>
        <w:t>东方农村产权交易中心</w:t>
      </w:r>
      <w:r>
        <w:rPr>
          <w:rFonts w:hint="eastAsia" w:ascii="Times New Roman" w:hAnsi="Times New Roman"/>
          <w:b/>
          <w:sz w:val="24"/>
          <w:szCs w:val="24"/>
        </w:rPr>
        <w:t>。</w:t>
      </w:r>
      <w:bookmarkEnd w:id="20"/>
      <w:bookmarkEnd w:id="21"/>
      <w:bookmarkEnd w:id="22"/>
    </w:p>
    <w:p w14:paraId="7080055C">
      <w:pPr>
        <w:spacing w:line="312" w:lineRule="auto"/>
        <w:ind w:firstLine="3840" w:firstLineChars="1600"/>
        <w:rPr>
          <w:rFonts w:ascii="宋体" w:hAnsi="宋体" w:eastAsia="宋体" w:cs="宋体"/>
          <w:sz w:val="24"/>
        </w:rPr>
      </w:pPr>
    </w:p>
    <w:p w14:paraId="4CD2AC17">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60100DA8">
      <w:pPr>
        <w:spacing w:line="296" w:lineRule="auto"/>
        <w:ind w:firstLine="3840" w:firstLineChars="1600"/>
        <w:outlineLvl w:val="1"/>
        <w:rPr>
          <w:rFonts w:ascii="宋体" w:hAnsi="宋体" w:eastAsia="宋体" w:cs="宋体"/>
          <w:sz w:val="24"/>
          <w:u w:val="single"/>
        </w:rPr>
      </w:pPr>
      <w:bookmarkStart w:id="26" w:name="_Toc9059"/>
      <w:bookmarkStart w:id="27" w:name="_Toc17490"/>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43F8999E">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9D232EF">
      <w:pPr>
        <w:pStyle w:val="4"/>
        <w:spacing w:line="240" w:lineRule="auto"/>
        <w:rPr>
          <w:rFonts w:ascii="黑体" w:hAnsi="黑体"/>
          <w:color w:val="000000"/>
        </w:rPr>
      </w:pPr>
      <w:bookmarkStart w:id="28" w:name="_Toc14469"/>
      <w:bookmarkStart w:id="29" w:name="_Toc12264"/>
      <w:bookmarkStart w:id="30" w:name="_Toc32101"/>
      <w:bookmarkStart w:id="31" w:name="_Toc4580"/>
      <w:bookmarkStart w:id="32" w:name="_Toc13094"/>
      <w:bookmarkStart w:id="33" w:name="_Toc11237"/>
      <w:bookmarkStart w:id="34" w:name="_Toc29841"/>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3"/>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6DF8C71C">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7A3E1DD5">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7048BE1">
            <w:pPr>
              <w:pStyle w:val="2"/>
            </w:pPr>
          </w:p>
        </w:tc>
      </w:tr>
      <w:tr w14:paraId="4D54BC2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DBB405D">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39A0A0CC">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656A72F5">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D0E1B6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A35C141">
            <w:pPr>
              <w:spacing w:line="360" w:lineRule="auto"/>
              <w:rPr>
                <w:rFonts w:ascii="宋体" w:hAnsi="宋体" w:eastAsia="宋体"/>
                <w:sz w:val="22"/>
              </w:rPr>
            </w:pPr>
          </w:p>
        </w:tc>
      </w:tr>
      <w:tr w14:paraId="67472BE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637FD0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9A0B3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A18064D">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ECBD8D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15F9188B">
            <w:pPr>
              <w:spacing w:line="360" w:lineRule="auto"/>
              <w:rPr>
                <w:rFonts w:ascii="宋体" w:hAnsi="宋体" w:eastAsia="宋体"/>
                <w:sz w:val="22"/>
              </w:rPr>
            </w:pPr>
          </w:p>
        </w:tc>
      </w:tr>
      <w:tr w14:paraId="20FA6FA0">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ADB75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137976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3674A22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933825">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6CF54BE">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1510D97">
            <w:pPr>
              <w:spacing w:line="360" w:lineRule="auto"/>
              <w:rPr>
                <w:rFonts w:ascii="宋体" w:hAnsi="宋体" w:eastAsia="宋体"/>
                <w:sz w:val="22"/>
              </w:rPr>
            </w:pPr>
          </w:p>
        </w:tc>
      </w:tr>
      <w:tr w14:paraId="4B90D77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92DDE53">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4386EF4">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D8E50B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D4A0E6">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116092A">
            <w:pPr>
              <w:spacing w:line="360" w:lineRule="auto"/>
              <w:rPr>
                <w:rFonts w:ascii="宋体" w:hAnsi="宋体" w:eastAsia="宋体"/>
                <w:sz w:val="22"/>
              </w:rPr>
            </w:pPr>
          </w:p>
        </w:tc>
      </w:tr>
      <w:tr w14:paraId="39DCB04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07D0F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CF5DBB">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BA785E3">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FF5E84F">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79CD93E">
            <w:pPr>
              <w:spacing w:line="360" w:lineRule="auto"/>
              <w:rPr>
                <w:rFonts w:ascii="宋体" w:hAnsi="宋体" w:eastAsia="宋体"/>
                <w:sz w:val="22"/>
              </w:rPr>
            </w:pPr>
          </w:p>
        </w:tc>
      </w:tr>
      <w:tr w14:paraId="52570A70">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A04A1E1">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3AD3E9">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0879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9DE1C7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4C65E674">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62AD312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66BA434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00727C47">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C7F550">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7D281E2">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A837DD">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C1652E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7F7C12B8">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4C2B781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0944F3D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1379F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7F960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4B9DD51D">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16F95C7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9BBA9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379E1F6">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0B61C6F">
            <w:pPr>
              <w:spacing w:line="360" w:lineRule="auto"/>
              <w:jc w:val="center"/>
              <w:rPr>
                <w:rFonts w:ascii="宋体" w:hAnsi="宋体" w:eastAsia="宋体"/>
                <w:sz w:val="22"/>
              </w:rPr>
            </w:pPr>
          </w:p>
        </w:tc>
      </w:tr>
      <w:tr w14:paraId="656FBA2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5DA0547">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87FEC9">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5943272F">
            <w:pPr>
              <w:spacing w:line="360" w:lineRule="auto"/>
              <w:rPr>
                <w:rFonts w:ascii="宋体" w:hAnsi="宋体" w:eastAsia="宋体"/>
                <w:sz w:val="22"/>
              </w:rPr>
            </w:pPr>
          </w:p>
        </w:tc>
      </w:tr>
      <w:tr w14:paraId="4831BFF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A7CE3F">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4ED2172">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44F0F4D5">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E0678F4">
            <w:pPr>
              <w:spacing w:line="360" w:lineRule="auto"/>
              <w:ind w:left="48"/>
              <w:rPr>
                <w:rFonts w:ascii="宋体" w:hAnsi="宋体" w:eastAsia="宋体"/>
                <w:sz w:val="22"/>
              </w:rPr>
            </w:pPr>
            <w:r>
              <w:rPr>
                <w:rFonts w:hint="eastAsia" w:ascii="宋体" w:hAnsi="宋体" w:eastAsia="宋体"/>
                <w:sz w:val="22"/>
              </w:rPr>
              <w:t>报表时间：</w:t>
            </w:r>
          </w:p>
        </w:tc>
      </w:tr>
      <w:tr w14:paraId="003C12EC">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2CA6548">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75989498">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2207DC0D">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044D1F7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24EE7EF">
            <w:pPr>
              <w:pStyle w:val="17"/>
              <w:spacing w:line="360" w:lineRule="auto"/>
              <w:jc w:val="center"/>
            </w:pPr>
          </w:p>
          <w:p w14:paraId="08D95BE2"/>
        </w:tc>
        <w:tc>
          <w:tcPr>
            <w:tcW w:w="795" w:type="dxa"/>
            <w:gridSpan w:val="3"/>
            <w:tcBorders>
              <w:top w:val="single" w:color="auto" w:sz="4" w:space="0"/>
              <w:left w:val="single" w:color="auto" w:sz="4" w:space="0"/>
              <w:bottom w:val="single" w:color="auto" w:sz="4" w:space="0"/>
              <w:right w:val="single" w:color="auto" w:sz="4" w:space="0"/>
            </w:tcBorders>
            <w:vAlign w:val="center"/>
          </w:tcPr>
          <w:p w14:paraId="2910E7E9">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13ADE4FC">
            <w:pPr>
              <w:pStyle w:val="17"/>
              <w:spacing w:line="360" w:lineRule="auto"/>
              <w:jc w:val="center"/>
            </w:pPr>
          </w:p>
          <w:p w14:paraId="24F4363F">
            <w:pPr>
              <w:pStyle w:val="8"/>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6B18A720">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30373F9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FC91F4C">
            <w:pPr>
              <w:pStyle w:val="17"/>
              <w:spacing w:line="360" w:lineRule="auto"/>
              <w:jc w:val="center"/>
              <w:rPr>
                <w:rFonts w:ascii="宋体" w:hAnsi="宋体" w:eastAsia="宋体"/>
                <w:sz w:val="22"/>
                <w:szCs w:val="24"/>
              </w:rPr>
            </w:pPr>
          </w:p>
        </w:tc>
      </w:tr>
      <w:tr w14:paraId="008006F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389649">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377BF3F">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68E732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EB12C39">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93A69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05FA9211">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CF25D9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7319D756">
            <w:pPr>
              <w:spacing w:line="360" w:lineRule="auto"/>
              <w:jc w:val="center"/>
              <w:rPr>
                <w:rFonts w:hint="default" w:ascii="宋体" w:hAnsi="宋体" w:eastAsia="宋体"/>
                <w:sz w:val="22"/>
                <w:lang w:val="en-US" w:eastAsia="zh-CN"/>
              </w:rPr>
            </w:pPr>
          </w:p>
        </w:tc>
      </w:tr>
      <w:tr w14:paraId="2392A4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E89DEE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B1C1EF5">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6A7FAD1">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1C3D1D">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84F14BC">
            <w:pPr>
              <w:spacing w:line="360" w:lineRule="auto"/>
              <w:jc w:val="center"/>
              <w:rPr>
                <w:rFonts w:hint="default" w:ascii="宋体" w:hAnsi="宋体" w:eastAsia="宋体"/>
                <w:sz w:val="22"/>
                <w:lang w:val="en-US" w:eastAsia="zh-CN"/>
              </w:rPr>
            </w:pPr>
          </w:p>
        </w:tc>
      </w:tr>
      <w:tr w14:paraId="6F69AF6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80C55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1A185DC">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05DC2A81">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4514DF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4C40551F">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44800D0">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95F23B6">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2D139EDA">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5D285296">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7E30F8F">
            <w:pPr>
              <w:spacing w:line="360" w:lineRule="auto"/>
              <w:rPr>
                <w:rFonts w:hint="eastAsia" w:ascii="宋体" w:hAnsi="宋体" w:eastAsia="宋体"/>
                <w:sz w:val="22"/>
                <w:lang w:val="en-US" w:eastAsia="zh-CN"/>
              </w:rPr>
            </w:pPr>
          </w:p>
        </w:tc>
      </w:tr>
      <w:tr w14:paraId="029344FE">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691A4721">
            <w:pPr>
              <w:spacing w:line="360" w:lineRule="auto"/>
              <w:jc w:val="center"/>
              <w:rPr>
                <w:rFonts w:ascii="宋体" w:hAnsi="宋体" w:eastAsia="宋体"/>
                <w:bCs/>
                <w:sz w:val="22"/>
              </w:rPr>
            </w:pPr>
            <w:r>
              <w:rPr>
                <w:rFonts w:hint="eastAsia" w:ascii="宋体" w:hAnsi="宋体" w:eastAsia="宋体"/>
                <w:bCs/>
                <w:sz w:val="22"/>
              </w:rPr>
              <w:t>附件</w:t>
            </w:r>
          </w:p>
          <w:p w14:paraId="724CAE90">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639100D9">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D29C9F2">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4C626C9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8C8DDEE">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1C07923C">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E3D5C1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7F796FD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79D04F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6F3CA66">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D91A71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CCDE93C">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6AE2E0D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70F3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35583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7F8A3">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74DC9517">
            <w:pPr>
              <w:spacing w:line="360" w:lineRule="auto"/>
              <w:jc w:val="left"/>
              <w:rPr>
                <w:rFonts w:ascii="宋体" w:hAnsi="宋体" w:eastAsia="宋体"/>
                <w:sz w:val="22"/>
              </w:rPr>
            </w:pPr>
          </w:p>
        </w:tc>
      </w:tr>
      <w:tr w14:paraId="101DDEFA">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1A2679D0">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345E321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F09C1A">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03F0A9B8">
            <w:pPr>
              <w:spacing w:line="360" w:lineRule="auto"/>
              <w:jc w:val="left"/>
              <w:rPr>
                <w:rFonts w:ascii="宋体" w:hAnsi="宋体" w:eastAsia="宋体"/>
                <w:sz w:val="22"/>
              </w:rPr>
            </w:pPr>
          </w:p>
        </w:tc>
      </w:tr>
      <w:tr w14:paraId="59D1987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39498E1">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36D42497">
            <w:pPr>
              <w:spacing w:line="360" w:lineRule="auto"/>
              <w:jc w:val="center"/>
              <w:rPr>
                <w:rFonts w:ascii="宋体" w:hAnsi="宋体" w:eastAsia="宋体"/>
                <w:bCs/>
                <w:sz w:val="22"/>
              </w:rPr>
            </w:pPr>
            <w:r>
              <w:rPr>
                <w:rFonts w:hint="eastAsia" w:ascii="宋体" w:hAnsi="宋体" w:eastAsia="宋体"/>
                <w:bCs/>
                <w:sz w:val="22"/>
              </w:rPr>
              <w:t>法人单位</w:t>
            </w:r>
          </w:p>
          <w:p w14:paraId="6D855367">
            <w:pPr>
              <w:spacing w:line="360" w:lineRule="auto"/>
              <w:jc w:val="center"/>
              <w:rPr>
                <w:rFonts w:ascii="宋体" w:hAnsi="宋体" w:eastAsia="宋体"/>
                <w:bCs/>
                <w:sz w:val="22"/>
              </w:rPr>
            </w:pPr>
            <w:r>
              <w:rPr>
                <w:rFonts w:hint="eastAsia" w:ascii="宋体" w:hAnsi="宋体" w:eastAsia="宋体"/>
                <w:bCs/>
                <w:sz w:val="22"/>
              </w:rPr>
              <w:t>（如农业企业，</w:t>
            </w:r>
          </w:p>
          <w:p w14:paraId="63EA6963">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7D6060">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6322EF9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EFF1EBC">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7190DE4">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2D745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20E11F8F">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F9F9C9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86D3B83">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C0F048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5257F75B">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E59ABB6">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64284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A003A1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48042F2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5992C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123C612">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FC3537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3B2817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E51BD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76794BA">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7BEA632">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3B7677EC">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681E42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B68B26A">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AB9FE16">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2372146">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4818D2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35F849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A9AF4F8">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80887A4">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A7841DA">
            <w:pPr>
              <w:spacing w:line="360" w:lineRule="auto"/>
              <w:jc w:val="left"/>
              <w:rPr>
                <w:rFonts w:ascii="宋体" w:hAnsi="宋体" w:eastAsia="宋体"/>
                <w:sz w:val="22"/>
              </w:rPr>
            </w:pPr>
          </w:p>
        </w:tc>
      </w:tr>
      <w:tr w14:paraId="7F3C2B3E">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BA540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1B3A77E">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EE4B700">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7A931569">
            <w:pPr>
              <w:spacing w:line="360" w:lineRule="auto"/>
              <w:jc w:val="left"/>
              <w:rPr>
                <w:rFonts w:ascii="宋体" w:hAnsi="宋体" w:eastAsia="宋体"/>
                <w:sz w:val="22"/>
              </w:rPr>
            </w:pPr>
          </w:p>
        </w:tc>
      </w:tr>
      <w:tr w14:paraId="20C0AB98">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4734338D">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06151DF8">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4468C26">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2719E34">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3AF040F">
            <w:pPr>
              <w:spacing w:line="360" w:lineRule="auto"/>
              <w:rPr>
                <w:rFonts w:ascii="宋体" w:hAnsi="宋体" w:eastAsia="宋体"/>
                <w:sz w:val="22"/>
              </w:rPr>
            </w:pPr>
          </w:p>
        </w:tc>
      </w:tr>
      <w:tr w14:paraId="4ED78EAD">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5985E7D1">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F10467A">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0654CE6">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8685F83">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64F02D3">
            <w:pPr>
              <w:spacing w:line="360" w:lineRule="auto"/>
              <w:jc w:val="center"/>
              <w:rPr>
                <w:rFonts w:hint="default" w:ascii="宋体" w:hAnsi="宋体" w:eastAsia="宋体"/>
                <w:sz w:val="22"/>
                <w:lang w:val="en-US" w:eastAsia="zh-CN"/>
              </w:rPr>
            </w:pPr>
          </w:p>
        </w:tc>
      </w:tr>
    </w:tbl>
    <w:p w14:paraId="6EA484DC">
      <w:pPr>
        <w:spacing w:line="570" w:lineRule="exact"/>
        <w:jc w:val="center"/>
        <w:rPr>
          <w:rFonts w:hint="eastAsia" w:ascii="方正小标宋简体" w:hAnsi="方正小标宋简体" w:eastAsia="方正小标宋简体" w:cs="方正小标宋简体"/>
          <w:b/>
          <w:bCs/>
          <w:sz w:val="36"/>
          <w:szCs w:val="36"/>
          <w:u w:val="single"/>
        </w:rPr>
      </w:pPr>
    </w:p>
    <w:p w14:paraId="116CDDBA">
      <w:pPr>
        <w:spacing w:line="570" w:lineRule="exact"/>
        <w:jc w:val="center"/>
        <w:rPr>
          <w:rFonts w:hint="eastAsia" w:ascii="方正小标宋简体" w:hAnsi="方正小标宋简体" w:eastAsia="方正小标宋简体" w:cs="方正小标宋简体"/>
          <w:b/>
          <w:bCs/>
          <w:sz w:val="36"/>
          <w:szCs w:val="36"/>
          <w:u w:val="single"/>
        </w:rPr>
      </w:pPr>
    </w:p>
    <w:p w14:paraId="28A2DEE1">
      <w:pPr>
        <w:spacing w:line="570" w:lineRule="exact"/>
        <w:jc w:val="center"/>
        <w:rPr>
          <w:rFonts w:hint="eastAsia" w:ascii="方正小标宋简体" w:hAnsi="方正小标宋简体" w:eastAsia="方正小标宋简体" w:cs="方正小标宋简体"/>
          <w:b/>
          <w:bCs/>
          <w:sz w:val="36"/>
          <w:szCs w:val="36"/>
          <w:u w:val="single"/>
        </w:rPr>
      </w:pPr>
    </w:p>
    <w:p w14:paraId="610F3946">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color w:val="C00000"/>
          <w:sz w:val="36"/>
          <w:szCs w:val="36"/>
          <w:lang w:val="en-US" w:eastAsia="zh-CN"/>
        </w:rPr>
        <w:t xml:space="preserve">东方市大田镇抱板村红泉6队路口55.85亩集体土地流转 </w:t>
      </w:r>
      <w:r>
        <w:rPr>
          <w:rFonts w:hint="eastAsia" w:ascii="方正小标宋_GBK" w:hAnsi="方正小标宋_GBK" w:eastAsia="方正小标宋_GBK" w:cs="方正小标宋_GBK"/>
          <w:b/>
          <w:bCs/>
          <w:sz w:val="36"/>
          <w:szCs w:val="36"/>
          <w:lang w:val="en-US" w:eastAsia="zh-CN"/>
        </w:rPr>
        <w:t>交易</w:t>
      </w:r>
      <w:r>
        <w:rPr>
          <w:rFonts w:hint="eastAsia" w:ascii="方正小标宋_GBK" w:hAnsi="方正小标宋_GBK" w:eastAsia="方正小标宋_GBK" w:cs="方正小标宋_GBK"/>
          <w:b/>
          <w:bCs/>
          <w:sz w:val="36"/>
          <w:szCs w:val="36"/>
        </w:rPr>
        <w:t>公示</w:t>
      </w:r>
    </w:p>
    <w:p w14:paraId="7519081A">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cstheme="minorEastAsia"/>
          <w:color w:val="C00000"/>
          <w:sz w:val="32"/>
          <w:szCs w:val="32"/>
          <w:lang w:val="en-US" w:eastAsia="zh-CN"/>
        </w:rPr>
        <w:t>东方市大田镇抱板村股份经济合作社</w:t>
      </w:r>
      <w:r>
        <w:rPr>
          <w:rFonts w:hint="eastAsia" w:asciiTheme="minorEastAsia" w:hAnsiTheme="minorEastAsia" w:eastAsiaTheme="minorEastAsia" w:cstheme="minorEastAsia"/>
          <w:sz w:val="32"/>
          <w:szCs w:val="32"/>
        </w:rPr>
        <w:t>召开的会议决议，同意</w:t>
      </w:r>
      <w:bookmarkStart w:id="36" w:name="OLE_LINK1"/>
      <w:r>
        <w:rPr>
          <w:rFonts w:hint="eastAsia" w:asciiTheme="minorEastAsia" w:hAnsiTheme="minorEastAsia" w:cstheme="minorEastAsia"/>
          <w:color w:val="C00000"/>
          <w:sz w:val="32"/>
          <w:szCs w:val="32"/>
          <w:u w:val="single"/>
          <w:lang w:val="en-US" w:eastAsia="zh-CN"/>
        </w:rPr>
        <w:t xml:space="preserve">东方市大田镇抱板村红泉6队路口55.85亩集体土地流转 </w:t>
      </w:r>
      <w:bookmarkEnd w:id="36"/>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东方</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中心(以下简称“农交中心”)网站</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dongfang</w:t>
      </w:r>
      <w:r>
        <w:rPr>
          <w:rFonts w:hint="eastAsia" w:asciiTheme="minorEastAsia" w:hAnsiTheme="minorEastAsia" w:eastAsiaTheme="minorEastAsia" w:cstheme="minorEastAsia"/>
          <w:sz w:val="32"/>
          <w:szCs w:val="32"/>
        </w:rPr>
        <w:t>.nongjiao.com）进行出租交易，依据《海南</w:t>
      </w:r>
      <w:r>
        <w:rPr>
          <w:rFonts w:hint="eastAsia" w:asciiTheme="minorEastAsia" w:hAnsiTheme="minorEastAsia" w:cstheme="minorEastAsia"/>
          <w:sz w:val="32"/>
          <w:szCs w:val="32"/>
          <w:lang w:val="en-US" w:eastAsia="zh-CN"/>
        </w:rPr>
        <w:t>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eastAsia="zh-CN"/>
        </w:rPr>
        <w:t>农交中心</w:t>
      </w:r>
      <w:r>
        <w:rPr>
          <w:rFonts w:hint="eastAsia" w:asciiTheme="minorEastAsia" w:hAnsiTheme="minorEastAsia" w:eastAsiaTheme="minorEastAsia" w:cstheme="minorEastAsia"/>
          <w:sz w:val="32"/>
          <w:szCs w:val="32"/>
        </w:rPr>
        <w:t>挂牌交易，现将公示如下：</w:t>
      </w:r>
    </w:p>
    <w:p w14:paraId="312B4B5F">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B556A3B">
      <w:pPr>
        <w:spacing w:line="520" w:lineRule="exact"/>
        <w:ind w:firstLine="560" w:firstLineChars="200"/>
        <w:rPr>
          <w:rFonts w:hint="eastAsia" w:asciiTheme="minorEastAsia" w:hAnsiTheme="minorEastAsia" w:cstheme="minorEastAsia"/>
          <w:color w:val="C00000"/>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color w:val="C00000"/>
          <w:sz w:val="28"/>
          <w:szCs w:val="28"/>
          <w:lang w:val="en-US" w:eastAsia="zh-CN"/>
        </w:rPr>
        <w:t>东方市大田镇抱板村红泉6队路口55.85亩集体土地流转</w:t>
      </w:r>
    </w:p>
    <w:p w14:paraId="396F0A1D">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color w:val="C00000"/>
          <w:sz w:val="28"/>
          <w:szCs w:val="28"/>
          <w:lang w:val="en-US" w:eastAsia="zh-CN"/>
        </w:rPr>
        <w:t>东方市</w:t>
      </w:r>
      <w:r>
        <w:rPr>
          <w:rFonts w:hint="eastAsia" w:asciiTheme="minorEastAsia" w:hAnsiTheme="minorEastAsia" w:cstheme="minorEastAsia"/>
          <w:color w:val="C00000"/>
          <w:sz w:val="28"/>
          <w:szCs w:val="28"/>
          <w:lang w:val="en-US" w:eastAsia="zh-CN"/>
        </w:rPr>
        <w:t>大田镇抱板村</w:t>
      </w:r>
      <w:r>
        <w:rPr>
          <w:rFonts w:hint="eastAsia" w:asciiTheme="minorEastAsia" w:hAnsiTheme="minorEastAsia" w:eastAsiaTheme="minorEastAsia" w:cstheme="minorEastAsia"/>
          <w:color w:val="C00000"/>
          <w:sz w:val="28"/>
          <w:szCs w:val="28"/>
          <w:lang w:val="en-US" w:eastAsia="zh-CN"/>
        </w:rPr>
        <w:t>股份经济合作社</w:t>
      </w:r>
    </w:p>
    <w:p w14:paraId="644CB298">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55.85亩</w:t>
      </w:r>
    </w:p>
    <w:p w14:paraId="6152C591">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20年</w:t>
      </w:r>
    </w:p>
    <w:p w14:paraId="1939C790">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w:t>
      </w:r>
      <w:r>
        <w:rPr>
          <w:rFonts w:hint="eastAsia" w:asciiTheme="minorEastAsia" w:hAnsiTheme="minorEastAsia" w:cstheme="minorEastAsia"/>
          <w:b w:val="0"/>
          <w:bCs w:val="0"/>
          <w:color w:val="auto"/>
          <w:sz w:val="28"/>
          <w:szCs w:val="28"/>
          <w:highlight w:val="none"/>
          <w:u w:val="none"/>
          <w:lang w:val="en-US" w:eastAsia="zh-CN"/>
        </w:rPr>
        <w:t>底价</w:t>
      </w:r>
      <w:r>
        <w:rPr>
          <w:rFonts w:hint="eastAsia" w:asciiTheme="minorEastAsia" w:hAnsiTheme="minorEastAsia" w:eastAsiaTheme="minorEastAsia" w:cstheme="minorEastAsia"/>
          <w:b w:val="0"/>
          <w:bCs w:val="0"/>
          <w:color w:val="auto"/>
          <w:sz w:val="28"/>
          <w:szCs w:val="28"/>
          <w:highlight w:val="none"/>
          <w:u w:val="none"/>
          <w:lang w:val="en-US" w:eastAsia="zh-CN"/>
        </w:rPr>
        <w:t>：</w:t>
      </w:r>
      <w:r>
        <w:rPr>
          <w:rFonts w:hint="eastAsia" w:asciiTheme="minorEastAsia" w:hAnsiTheme="minorEastAsia" w:cstheme="minorEastAsia"/>
          <w:b w:val="0"/>
          <w:bCs w:val="0"/>
          <w:color w:val="auto"/>
          <w:sz w:val="28"/>
          <w:szCs w:val="28"/>
          <w:highlight w:val="none"/>
          <w:u w:val="none"/>
          <w:lang w:val="en-US" w:eastAsia="zh-CN"/>
        </w:rPr>
        <w:t>39095元/年</w:t>
      </w:r>
    </w:p>
    <w:p w14:paraId="11DF4CF2">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w:t>
      </w:r>
      <w:r>
        <w:rPr>
          <w:rFonts w:hint="eastAsia" w:asciiTheme="minorEastAsia" w:hAnsiTheme="minorEastAsia" w:cstheme="minorEastAsia"/>
          <w:b w:val="0"/>
          <w:bCs w:val="0"/>
          <w:color w:val="auto"/>
          <w:sz w:val="28"/>
          <w:szCs w:val="28"/>
          <w:highlight w:val="none"/>
          <w:u w:val="none"/>
          <w:lang w:val="en-US" w:eastAsia="zh-CN"/>
        </w:rPr>
        <w:t>50000元</w:t>
      </w:r>
    </w:p>
    <w:p w14:paraId="3C67C08C">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4CA22FF1">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 xml:space="preserve"> 16:00</w:t>
      </w:r>
      <w:r>
        <w:rPr>
          <w:rFonts w:hint="eastAsia" w:asciiTheme="minorEastAsia" w:hAnsiTheme="minorEastAsia" w:eastAsiaTheme="minorEastAsia" w:cstheme="minorEastAsia"/>
          <w:color w:val="C00000"/>
          <w:sz w:val="28"/>
          <w:szCs w:val="28"/>
          <w:lang w:val="en-US" w:eastAsia="zh-CN"/>
        </w:rPr>
        <w:t>（最后5分钟有人出价竞拍时间延长5分钟）</w:t>
      </w:r>
    </w:p>
    <w:p w14:paraId="23EE4D7C">
      <w:pPr>
        <w:spacing w:line="520" w:lineRule="exact"/>
        <w:ind w:firstLine="560" w:firstLineChars="20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一年一付，每五年递增10%</w:t>
      </w:r>
    </w:p>
    <w:p w14:paraId="7934A578">
      <w:pPr>
        <w:spacing w:line="520" w:lineRule="exact"/>
        <w:ind w:firstLine="560" w:firstLineChars="200"/>
        <w:rPr>
          <w:rFonts w:hint="default"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胡开良13627516664</w:t>
      </w:r>
    </w:p>
    <w:p w14:paraId="4EF0CF8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09C79DD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流转交易。</w:t>
      </w:r>
    </w:p>
    <w:p w14:paraId="0CC0B6B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监督电话：0898-38931829</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16689536547</w:t>
      </w:r>
      <w:r>
        <w:rPr>
          <w:rFonts w:hint="eastAsia" w:asciiTheme="minorEastAsia" w:hAnsiTheme="minorEastAsia" w:eastAsiaTheme="minorEastAsia" w:cstheme="minorEastAsia"/>
          <w:sz w:val="28"/>
          <w:szCs w:val="28"/>
        </w:rPr>
        <w:t>（报名热线）</w:t>
      </w:r>
    </w:p>
    <w:p w14:paraId="69C6789A">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报名地址：海南省东方市八所镇东海路33号。</w:t>
      </w:r>
    </w:p>
    <w:p w14:paraId="296977A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项目在</w:t>
      </w:r>
      <w:r>
        <w:rPr>
          <w:rFonts w:hint="eastAsia" w:asciiTheme="minorEastAsia" w:hAnsiTheme="minorEastAsia" w:cstheme="minorEastAsia"/>
          <w:sz w:val="28"/>
          <w:szCs w:val="28"/>
          <w:lang w:eastAsia="zh-CN"/>
        </w:rPr>
        <w:t>农交中心</w:t>
      </w:r>
      <w:r>
        <w:rPr>
          <w:rFonts w:hint="eastAsia" w:asciiTheme="minorEastAsia" w:hAnsiTheme="minorEastAsia" w:eastAsiaTheme="minorEastAsia" w:cstheme="minorEastAsia"/>
          <w:sz w:val="28"/>
          <w:szCs w:val="28"/>
        </w:rPr>
        <w:t xml:space="preserve">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dongfang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4F27A6D7">
      <w:pPr>
        <w:spacing w:line="570" w:lineRule="exact"/>
        <w:jc w:val="both"/>
        <w:rPr>
          <w:rFonts w:ascii="宋体" w:hAnsi="宋体" w:eastAsia="宋体" w:cs="宋体"/>
          <w:sz w:val="28"/>
          <w:szCs w:val="28"/>
          <w:u w:val="single"/>
        </w:rPr>
      </w:pPr>
      <w:bookmarkStart w:id="37" w:name="_GoBack"/>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D:/二维码.png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二维码.png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bookmarkEnd w:id="37"/>
    <w:p w14:paraId="5889A223">
      <w:pPr>
        <w:pStyle w:val="6"/>
        <w:jc w:val="right"/>
        <w:rPr>
          <w:b/>
          <w:bCs/>
          <w:sz w:val="28"/>
          <w:szCs w:val="36"/>
        </w:rPr>
      </w:pPr>
      <w:r>
        <w:rPr>
          <w:rFonts w:hint="eastAsia"/>
          <w:b/>
          <w:bCs/>
          <w:sz w:val="28"/>
          <w:szCs w:val="36"/>
        </w:rPr>
        <w:t>已详细阅读此交易公示，对此交易公示内容无异议。</w:t>
      </w:r>
    </w:p>
    <w:p w14:paraId="155DFBDB">
      <w:pPr>
        <w:pStyle w:val="6"/>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E84083E">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7B51AB96">
      <w:pPr>
        <w:pStyle w:val="8"/>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9BC8969-14C8-4506-BA78-B505166186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AC8BF7F4-E114-4570-BDCF-35F8A8E1C91A}"/>
  </w:font>
  <w:font w:name="新宋体">
    <w:panose1 w:val="02010609030101010101"/>
    <w:charset w:val="86"/>
    <w:family w:val="modern"/>
    <w:pitch w:val="default"/>
    <w:sig w:usb0="00000203" w:usb1="288F0000" w:usb2="00000006" w:usb3="00000000" w:csb0="00040001" w:csb1="00000000"/>
    <w:embedRegular r:id="rId3" w:fontKey="{A462C94B-5ECC-40B2-94DD-98E08F3F248F}"/>
  </w:font>
  <w:font w:name="微软雅黑">
    <w:panose1 w:val="020B0503020204020204"/>
    <w:charset w:val="86"/>
    <w:family w:val="swiss"/>
    <w:pitch w:val="default"/>
    <w:sig w:usb0="80000287" w:usb1="2ACF3C50" w:usb2="00000016" w:usb3="00000000" w:csb0="0004001F" w:csb1="00000000"/>
    <w:embedRegular r:id="rId4" w:fontKey="{0CD181EB-A16C-441A-9D19-4E07CEE0B2AB}"/>
  </w:font>
  <w:font w:name="方正小标宋简体">
    <w:panose1 w:val="02000000000000000000"/>
    <w:charset w:val="86"/>
    <w:family w:val="auto"/>
    <w:pitch w:val="default"/>
    <w:sig w:usb0="00000001" w:usb1="08000000" w:usb2="00000000" w:usb3="00000000" w:csb0="00040000" w:csb1="00000000"/>
    <w:embedRegular r:id="rId5" w:fontKey="{E5C235D9-0615-4066-9819-D8925636D25D}"/>
  </w:font>
  <w:font w:name="仿宋">
    <w:panose1 w:val="02010609060101010101"/>
    <w:charset w:val="86"/>
    <w:family w:val="modern"/>
    <w:pitch w:val="default"/>
    <w:sig w:usb0="800002BF" w:usb1="38CF7CFA" w:usb2="00000016" w:usb3="00000000" w:csb0="00040001" w:csb1="00000000"/>
    <w:embedRegular r:id="rId6" w:fontKey="{B9CDF158-27F2-46DC-BC10-F29B44B9D5EA}"/>
  </w:font>
  <w:font w:name="方正小标宋_GBK">
    <w:panose1 w:val="02000000000000000000"/>
    <w:charset w:val="86"/>
    <w:family w:val="auto"/>
    <w:pitch w:val="default"/>
    <w:sig w:usb0="A00002BF" w:usb1="38CF7CFA" w:usb2="00082016" w:usb3="00000000" w:csb0="00040001" w:csb1="00000000"/>
    <w:embedRegular r:id="rId7" w:fontKey="{6BB7B913-474A-48D2-9188-EEC51CBB280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0NTgyZTYyOWY5MDc4Y2QwNjc0NjlhZDMwNWY5MTgifQ=="/>
  </w:docVars>
  <w:rsids>
    <w:rsidRoot w:val="00125DA0"/>
    <w:rsid w:val="00075E67"/>
    <w:rsid w:val="00125DA0"/>
    <w:rsid w:val="00167AC6"/>
    <w:rsid w:val="00B57B36"/>
    <w:rsid w:val="00CD7376"/>
    <w:rsid w:val="00E03B4E"/>
    <w:rsid w:val="00E541D7"/>
    <w:rsid w:val="011B32B7"/>
    <w:rsid w:val="01BE7A7E"/>
    <w:rsid w:val="09C967AF"/>
    <w:rsid w:val="0A8721A0"/>
    <w:rsid w:val="0B7B2128"/>
    <w:rsid w:val="0B985CD3"/>
    <w:rsid w:val="0CD67C16"/>
    <w:rsid w:val="0E9816ED"/>
    <w:rsid w:val="0FFF4E07"/>
    <w:rsid w:val="10396E71"/>
    <w:rsid w:val="106B6FA8"/>
    <w:rsid w:val="11DE52CB"/>
    <w:rsid w:val="12516798"/>
    <w:rsid w:val="14AE726C"/>
    <w:rsid w:val="150A3847"/>
    <w:rsid w:val="160D174D"/>
    <w:rsid w:val="16D93709"/>
    <w:rsid w:val="18665867"/>
    <w:rsid w:val="18E10F33"/>
    <w:rsid w:val="19634639"/>
    <w:rsid w:val="1A0C35CC"/>
    <w:rsid w:val="1AB67273"/>
    <w:rsid w:val="1C741FFD"/>
    <w:rsid w:val="1CE74D57"/>
    <w:rsid w:val="202B23F6"/>
    <w:rsid w:val="20BE4E97"/>
    <w:rsid w:val="20D87A7B"/>
    <w:rsid w:val="2163678E"/>
    <w:rsid w:val="22162485"/>
    <w:rsid w:val="23C4301C"/>
    <w:rsid w:val="24DB640B"/>
    <w:rsid w:val="2741574C"/>
    <w:rsid w:val="2B3B26F3"/>
    <w:rsid w:val="2C765212"/>
    <w:rsid w:val="2F0F6680"/>
    <w:rsid w:val="30365638"/>
    <w:rsid w:val="30B56AE1"/>
    <w:rsid w:val="30CE55FA"/>
    <w:rsid w:val="327E6635"/>
    <w:rsid w:val="32C77F74"/>
    <w:rsid w:val="3321133C"/>
    <w:rsid w:val="33802506"/>
    <w:rsid w:val="33C70D15"/>
    <w:rsid w:val="3516702D"/>
    <w:rsid w:val="356B5D48"/>
    <w:rsid w:val="36257C7B"/>
    <w:rsid w:val="37E601A9"/>
    <w:rsid w:val="38573209"/>
    <w:rsid w:val="38C64B83"/>
    <w:rsid w:val="3A7A2C02"/>
    <w:rsid w:val="3C69483E"/>
    <w:rsid w:val="3EBE5137"/>
    <w:rsid w:val="3EE84C2D"/>
    <w:rsid w:val="400973E0"/>
    <w:rsid w:val="43315BEC"/>
    <w:rsid w:val="43AD1C7C"/>
    <w:rsid w:val="44191BBB"/>
    <w:rsid w:val="44912C24"/>
    <w:rsid w:val="44FC583A"/>
    <w:rsid w:val="45BE0ACA"/>
    <w:rsid w:val="46FB0059"/>
    <w:rsid w:val="47C03328"/>
    <w:rsid w:val="48350522"/>
    <w:rsid w:val="48F422BB"/>
    <w:rsid w:val="4A2D072C"/>
    <w:rsid w:val="4A7A6DBA"/>
    <w:rsid w:val="4C122427"/>
    <w:rsid w:val="4D440E1C"/>
    <w:rsid w:val="4DC33073"/>
    <w:rsid w:val="4E3F7559"/>
    <w:rsid w:val="4ECE0172"/>
    <w:rsid w:val="51516E47"/>
    <w:rsid w:val="55A45C23"/>
    <w:rsid w:val="5A5177D6"/>
    <w:rsid w:val="5CF93C67"/>
    <w:rsid w:val="5D942216"/>
    <w:rsid w:val="5E0B036F"/>
    <w:rsid w:val="639B14F1"/>
    <w:rsid w:val="64515E2E"/>
    <w:rsid w:val="64D61FAB"/>
    <w:rsid w:val="65D81705"/>
    <w:rsid w:val="70C6412A"/>
    <w:rsid w:val="786A7F85"/>
    <w:rsid w:val="791505B4"/>
    <w:rsid w:val="7A7C6A82"/>
    <w:rsid w:val="7D051392"/>
    <w:rsid w:val="7EC1633B"/>
    <w:rsid w:val="7EF01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5">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pPr>
    <w:rPr>
      <w:rFonts w:ascii="Verdana" w:hAnsi="Verdana"/>
      <w:szCs w:val="20"/>
    </w:rPr>
  </w:style>
  <w:style w:type="paragraph" w:styleId="7">
    <w:name w:val="annotation text"/>
    <w:basedOn w:val="1"/>
    <w:autoRedefine/>
    <w:qFormat/>
    <w:uiPriority w:val="0"/>
    <w:pPr>
      <w:jc w:val="left"/>
    </w:pPr>
  </w:style>
  <w:style w:type="paragraph" w:styleId="8">
    <w:name w:val="Body Text"/>
    <w:basedOn w:val="1"/>
    <w:autoRedefine/>
    <w:qFormat/>
    <w:uiPriority w:val="0"/>
    <w:pPr>
      <w:spacing w:after="120"/>
    </w:pPr>
  </w:style>
  <w:style w:type="paragraph" w:styleId="9">
    <w:name w:val="footer"/>
    <w:basedOn w:val="1"/>
    <w:link w:val="20"/>
    <w:autoRedefine/>
    <w:qFormat/>
    <w:uiPriority w:val="0"/>
    <w:pPr>
      <w:tabs>
        <w:tab w:val="center" w:pos="4153"/>
        <w:tab w:val="right" w:pos="8306"/>
      </w:tabs>
      <w:snapToGrid w:val="0"/>
      <w:jc w:val="left"/>
    </w:pPr>
    <w:rPr>
      <w:sz w:val="18"/>
      <w:szCs w:val="18"/>
    </w:rPr>
  </w:style>
  <w:style w:type="paragraph" w:styleId="10">
    <w:name w:val="header"/>
    <w:basedOn w:val="1"/>
    <w:link w:val="19"/>
    <w:autoRedefine/>
    <w:qFormat/>
    <w:uiPriority w:val="0"/>
    <w:pPr>
      <w:tabs>
        <w:tab w:val="center" w:pos="4153"/>
        <w:tab w:val="right" w:pos="8306"/>
      </w:tabs>
      <w:snapToGrid w:val="0"/>
      <w:jc w:val="center"/>
    </w:pPr>
    <w:rPr>
      <w:sz w:val="18"/>
      <w:szCs w:val="18"/>
    </w:rPr>
  </w:style>
  <w:style w:type="paragraph" w:styleId="11">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2">
    <w:name w:val="Normal (Web)"/>
    <w:basedOn w:val="1"/>
    <w:autoRedefine/>
    <w:qFormat/>
    <w:uiPriority w:val="0"/>
    <w:pPr>
      <w:spacing w:beforeAutospacing="1" w:afterAutospacing="1"/>
      <w:jc w:val="left"/>
    </w:pPr>
    <w:rPr>
      <w:rFonts w:cs="Times New Roman"/>
      <w:kern w:val="0"/>
      <w:sz w:val="24"/>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5"/>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4"/>
    <w:link w:val="10"/>
    <w:autoRedefine/>
    <w:qFormat/>
    <w:uiPriority w:val="0"/>
    <w:rPr>
      <w:rFonts w:asciiTheme="minorHAnsi" w:hAnsiTheme="minorHAnsi" w:eastAsiaTheme="minorEastAsia" w:cstheme="minorBidi"/>
      <w:kern w:val="2"/>
      <w:sz w:val="18"/>
      <w:szCs w:val="18"/>
    </w:rPr>
  </w:style>
  <w:style w:type="character" w:customStyle="1" w:styleId="20">
    <w:name w:val="页脚 字符"/>
    <w:basedOn w:val="14"/>
    <w:link w:val="9"/>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6073</Words>
  <Characters>6362</Characters>
  <Lines>59</Lines>
  <Paragraphs>16</Paragraphs>
  <TotalTime>0</TotalTime>
  <ScaleCrop>false</ScaleCrop>
  <LinksUpToDate>false</LinksUpToDate>
  <CharactersWithSpaces>6715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孙福街</cp:lastModifiedBy>
  <cp:lastPrinted>2025-02-27T01:03:00Z</cp:lastPrinted>
  <dcterms:modified xsi:type="dcterms:W3CDTF">2025-05-20T09:03:22Z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F5B1D034A68946AD986B0D3EFCD3372F_13</vt:lpwstr>
  </property>
  <property fmtid="{D5CDD505-2E9C-101B-9397-08002B2CF9AE}" pid="4" name="KSOTemplateDocerSaveRecord">
    <vt:lpwstr>eyJoZGlkIjoiZjNkMzU1OTE0ZDc2NmQwMzQ3NGY5YmE0ZTg2NWM2ZWEiLCJ1c2VySWQiOiI0MDg4MTQyMDkifQ==</vt:lpwstr>
  </property>
</Properties>
</file>