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4F771918">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32320"/>
      <w:bookmarkStart w:id="2" w:name="_Toc20910"/>
      <w:bookmarkStart w:id="3" w:name="_Toc21762"/>
      <w:bookmarkStart w:id="4" w:name="_Toc24454"/>
      <w:bookmarkStart w:id="5" w:name="_Toc21422"/>
      <w:bookmarkStart w:id="6" w:name="_Toc15737"/>
      <w:bookmarkStart w:id="7" w:name="_Toc11918"/>
      <w:bookmarkStart w:id="8" w:name="_Toc12789"/>
      <w:bookmarkStart w:id="9" w:name="_Toc7615"/>
      <w:bookmarkStart w:id="10" w:name="_Toc24068"/>
      <w:bookmarkStart w:id="11" w:name="_Toc13462"/>
      <w:bookmarkStart w:id="12" w:name="_Toc24727"/>
      <w:bookmarkStart w:id="13" w:name="_Toc29002"/>
      <w:bookmarkStart w:id="14" w:name="_Toc25712"/>
      <w:bookmarkStart w:id="15" w:name="_Toc8396"/>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琼中县加钗农场招待所19.67㎡铁塔基站用房资产出租</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color w:val="FF0000"/>
          <w:sz w:val="28"/>
          <w:szCs w:val="28"/>
          <w:u w:val="single"/>
          <w:lang w:val="en-US" w:eastAsia="zh-CN"/>
        </w:rPr>
        <w:t>13032</w:t>
      </w:r>
      <w:r>
        <w:rPr>
          <w:rFonts w:hint="eastAsia" w:ascii="新宋体" w:hAnsi="新宋体" w:eastAsia="新宋体" w:cs="Times New Roman"/>
          <w:color w:val="FF0000"/>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rPr>
                <w:rFonts w:asciiTheme="minorEastAsia" w:hAnsiTheme="minorEastAsia" w:cstheme="minorEastAsia"/>
                <w:b/>
                <w:bCs/>
                <w:sz w:val="28"/>
                <w:szCs w:val="28"/>
              </w:rPr>
            </w:pPr>
            <w:r>
              <w:rPr>
                <w:rFonts w:hint="eastAsia" w:ascii="仿宋_GB2312" w:hAnsi="仿宋_GB2312" w:eastAsia="仿宋_GB2312" w:cs="仿宋_GB2312"/>
                <w:b/>
                <w:bCs/>
                <w:sz w:val="28"/>
                <w:szCs w:val="28"/>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琼中农村产权交易中心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AECE90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b/>
          <w:bCs/>
          <w:sz w:val="28"/>
          <w:szCs w:val="28"/>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b/>
          <w:bCs/>
          <w:sz w:val="28"/>
          <w:szCs w:val="28"/>
          <w:u w:val="single"/>
          <w:lang w:val="en-US" w:eastAsia="zh-CN"/>
        </w:rPr>
        <w:t>琼中县加钗农场招待所19.67㎡铁塔基站用房资产出租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ABFC9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琼中县加钗农场招待所19.67㎡铁塔基站用房资产出租</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14469"/>
      <w:bookmarkStart w:id="29" w:name="_Toc11237"/>
      <w:bookmarkStart w:id="30" w:name="_Toc32101"/>
      <w:bookmarkStart w:id="31" w:name="_Toc12264"/>
      <w:bookmarkStart w:id="32" w:name="_Toc29841"/>
      <w:bookmarkStart w:id="33" w:name="_Toc4580"/>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琼中县加钗农场招待所19.67㎡铁塔基站用房资产出租交易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琼中县加钗农场招待所19.67㎡铁塔基站用房资产出租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琼中县加钗农场招待所19.67㎡铁塔基站用房资产出租</w:t>
      </w:r>
    </w:p>
    <w:p w14:paraId="28AD179C">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auto"/>
          <w:kern w:val="2"/>
          <w:sz w:val="21"/>
          <w:szCs w:val="21"/>
          <w:u w:val="single"/>
          <w:lang w:val="en-US" w:eastAsia="zh-CN" w:bidi="ar-SA"/>
        </w:rPr>
      </w:pPr>
      <w:r>
        <w:rPr>
          <w:rFonts w:hint="eastAsia" w:asciiTheme="minorEastAsia" w:hAnsiTheme="minorEastAsia" w:eastAsiaTheme="minorEastAsia" w:cstheme="minorEastAsia"/>
          <w:sz w:val="28"/>
          <w:szCs w:val="28"/>
          <w:lang w:val="en-US" w:eastAsia="zh-CN"/>
        </w:rPr>
        <w:t>出租方：海南加钗投资控股发展有限责任公司</w:t>
      </w:r>
    </w:p>
    <w:p w14:paraId="6B03858D">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：19.67㎡</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出租期限：3年</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挂牌价格：13032元/年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：5213元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2025年06月04日10:00-06月12日10:00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2025年06月13日10:00-16:00</w:t>
      </w:r>
    </w:p>
    <w:p w14:paraId="0680CF4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一年一付，缴纳三</w:t>
      </w:r>
      <w:bookmarkStart w:id="36" w:name="_GoBack"/>
      <w:bookmarkEnd w:id="36"/>
      <w:r>
        <w:rPr>
          <w:rFonts w:hint="eastAsia" w:asciiTheme="minorEastAsia" w:hAnsiTheme="minorEastAsia" w:cstheme="minorEastAsia"/>
          <w:sz w:val="28"/>
          <w:szCs w:val="28"/>
          <w:lang w:val="en-US" w:eastAsia="zh-CN"/>
        </w:rPr>
        <w:t>个月租金为押金。</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程朝伦 18117736002</w:t>
      </w:r>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323483"/>
    <w:rsid w:val="0B7B2128"/>
    <w:rsid w:val="0B985CD3"/>
    <w:rsid w:val="0C293EC2"/>
    <w:rsid w:val="0E9816ED"/>
    <w:rsid w:val="10396E71"/>
    <w:rsid w:val="11DE52CB"/>
    <w:rsid w:val="14B20501"/>
    <w:rsid w:val="14DE7F4A"/>
    <w:rsid w:val="150A3847"/>
    <w:rsid w:val="1534197E"/>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0D8647E"/>
    <w:rsid w:val="42FE1677"/>
    <w:rsid w:val="43315BEC"/>
    <w:rsid w:val="43AD1C7C"/>
    <w:rsid w:val="44912C24"/>
    <w:rsid w:val="45F8740F"/>
    <w:rsid w:val="47741439"/>
    <w:rsid w:val="47C03328"/>
    <w:rsid w:val="4C122427"/>
    <w:rsid w:val="4C8B77DB"/>
    <w:rsid w:val="4D440E1C"/>
    <w:rsid w:val="4DC33073"/>
    <w:rsid w:val="4E3F7559"/>
    <w:rsid w:val="4ECE0172"/>
    <w:rsid w:val="51516E47"/>
    <w:rsid w:val="5C7809F2"/>
    <w:rsid w:val="5CF93C67"/>
    <w:rsid w:val="5EA42BFE"/>
    <w:rsid w:val="64515E2E"/>
    <w:rsid w:val="64D61FAB"/>
    <w:rsid w:val="691C51E1"/>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6729</Words>
  <Characters>7167</Characters>
  <Lines>59</Lines>
  <Paragraphs>16</Paragraphs>
  <TotalTime>0</TotalTime>
  <ScaleCrop>false</ScaleCrop>
  <LinksUpToDate>false</LinksUpToDate>
  <CharactersWithSpaces>7670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2025-05-15T06:48:00Z</cp:lastPrinted>
  <dcterms:modified xsi:type="dcterms:W3CDTF">2025-06-03T01:16:14Z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0388FB5D2C234345A72B5541C3EDD9A1_13</vt:lpwstr>
  </property>
  <property fmtid="{D5CDD505-2E9C-101B-9397-08002B2CF9AE}" pid="4" name="KSOTemplateDocerSaveRecord">
    <vt:lpwstr>eyJoZGlkIjoiMTIwOWMyZmIyYjc5ZjRhZWZlYTZlOGJlMWFiNGU5MDYiLCJ1c2VySWQiOiIxNjg0NzAxOTk1In0=</vt:lpwstr>
  </property>
</Properties>
</file>