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4ED18">
      <w:pPr>
        <w:spacing w:before="64" w:line="225" w:lineRule="auto"/>
        <w:rPr>
          <w:rFonts w:ascii="Times New Roman" w:hAnsi="Times New Roman" w:eastAsia="Times New Roman" w:cs="Times New Roman"/>
          <w:sz w:val="32"/>
          <w:szCs w:val="32"/>
        </w:rPr>
      </w:pPr>
    </w:p>
    <w:p w14:paraId="15FB7F05">
      <w:pPr>
        <w:spacing w:before="14"/>
      </w:pPr>
    </w:p>
    <w:p w14:paraId="7F42531F">
      <w:pPr>
        <w:spacing w:before="14"/>
      </w:pPr>
    </w:p>
    <w:p w14:paraId="3DB73F55">
      <w:pPr>
        <w:sectPr>
          <w:footerReference r:id="rId3" w:type="default"/>
          <w:pgSz w:w="11905" w:h="16840"/>
          <w:pgMar w:top="1210" w:right="924" w:bottom="1189" w:left="1785" w:header="0" w:footer="939" w:gutter="0"/>
          <w:pgNumType w:fmt="decimal"/>
          <w:cols w:equalWidth="0" w:num="1">
            <w:col w:w="9195"/>
          </w:cols>
        </w:sectPr>
      </w:pPr>
    </w:p>
    <w:p w14:paraId="7D65561E">
      <w:pPr>
        <w:spacing w:before="198" w:line="186" w:lineRule="auto"/>
        <w:ind w:left="22"/>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5243B832">
      <w:pPr>
        <w:spacing w:line="14" w:lineRule="auto"/>
        <w:rPr>
          <w:rFonts w:ascii="Arial"/>
          <w:sz w:val="2"/>
        </w:rPr>
      </w:pPr>
      <w:r>
        <w:rPr>
          <w:rFonts w:ascii="Arial" w:hAnsi="Arial" w:eastAsia="Arial" w:cs="Arial"/>
          <w:sz w:val="2"/>
          <w:szCs w:val="2"/>
        </w:rPr>
        <w:br w:type="column"/>
      </w:r>
    </w:p>
    <w:p w14:paraId="2CB2C1CD">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E14FBDA">
      <w:pPr>
        <w:spacing w:line="14" w:lineRule="auto"/>
        <w:rPr>
          <w:rFonts w:ascii="Arial"/>
          <w:sz w:val="2"/>
        </w:rPr>
      </w:pPr>
      <w:r>
        <w:rPr>
          <w:rFonts w:ascii="Arial" w:hAnsi="Arial" w:eastAsia="Arial" w:cs="Arial"/>
          <w:sz w:val="2"/>
          <w:szCs w:val="2"/>
        </w:rPr>
        <w:br w:type="column"/>
      </w:r>
    </w:p>
    <w:p w14:paraId="6F79C63A">
      <w:pPr>
        <w:spacing w:line="662" w:lineRule="exact"/>
      </w:pPr>
      <w:r>
        <w:rPr>
          <w:position w:val="-13"/>
        </w:rPr>
        <w:drawing>
          <wp:anchor distT="0" distB="0" distL="0" distR="0" simplePos="0" relativeHeight="251662336"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8"/>
                    <a:stretch>
                      <a:fillRect/>
                    </a:stretch>
                  </pic:blipFill>
                  <pic:spPr>
                    <a:xfrm>
                      <a:off x="0" y="0"/>
                      <a:ext cx="2709671" cy="420510"/>
                    </a:xfrm>
                    <a:prstGeom prst="rect">
                      <a:avLst/>
                    </a:prstGeom>
                  </pic:spPr>
                </pic:pic>
              </a:graphicData>
            </a:graphic>
          </wp:anchor>
        </w:drawing>
      </w:r>
    </w:p>
    <w:p w14:paraId="1988819D">
      <w:pPr>
        <w:spacing w:line="662" w:lineRule="exact"/>
        <w:sectPr>
          <w:type w:val="continuous"/>
          <w:pgSz w:w="11905" w:h="16840"/>
          <w:pgMar w:top="1210" w:right="924" w:bottom="1189" w:left="1785" w:header="0" w:footer="939" w:gutter="0"/>
          <w:pgNumType w:fmt="decimal"/>
          <w:cols w:equalWidth="0" w:num="3">
            <w:col w:w="3446" w:space="100"/>
            <w:col w:w="1282" w:space="100"/>
            <w:col w:w="4268"/>
          </w:cols>
        </w:sectPr>
      </w:pPr>
    </w:p>
    <w:p w14:paraId="0B9C2457">
      <w:pPr>
        <w:spacing w:line="259" w:lineRule="auto"/>
        <w:rPr>
          <w:rFonts w:ascii="Arial"/>
          <w:sz w:val="21"/>
        </w:rPr>
      </w:pPr>
    </w:p>
    <w:p w14:paraId="4F5C6BCF">
      <w:pPr>
        <w:spacing w:line="259" w:lineRule="auto"/>
        <w:rPr>
          <w:rFonts w:ascii="Arial"/>
          <w:sz w:val="21"/>
        </w:rPr>
      </w:pPr>
    </w:p>
    <w:p w14:paraId="41AF027C">
      <w:pPr>
        <w:spacing w:line="259" w:lineRule="auto"/>
        <w:rPr>
          <w:rFonts w:ascii="Arial"/>
          <w:sz w:val="21"/>
        </w:rPr>
      </w:pPr>
    </w:p>
    <w:p w14:paraId="3793A8C0">
      <w:pPr>
        <w:spacing w:line="259" w:lineRule="auto"/>
        <w:rPr>
          <w:rFonts w:ascii="Arial"/>
          <w:sz w:val="21"/>
        </w:rPr>
      </w:pPr>
    </w:p>
    <w:p w14:paraId="250BB057">
      <w:pPr>
        <w:spacing w:line="259" w:lineRule="auto"/>
        <w:rPr>
          <w:rFonts w:ascii="Arial"/>
          <w:sz w:val="21"/>
        </w:rPr>
      </w:pPr>
    </w:p>
    <w:p w14:paraId="506BE05E">
      <w:pPr>
        <w:spacing w:line="259" w:lineRule="auto"/>
        <w:rPr>
          <w:rFonts w:ascii="Arial"/>
          <w:sz w:val="21"/>
        </w:rPr>
      </w:pPr>
    </w:p>
    <w:p w14:paraId="1D0E8526">
      <w:pPr>
        <w:spacing w:line="259" w:lineRule="auto"/>
        <w:rPr>
          <w:rFonts w:ascii="Arial"/>
          <w:sz w:val="21"/>
        </w:rPr>
      </w:pPr>
    </w:p>
    <w:p w14:paraId="0F872ECB">
      <w:pPr>
        <w:spacing w:line="260" w:lineRule="auto"/>
        <w:rPr>
          <w:rFonts w:ascii="Arial"/>
          <w:sz w:val="21"/>
        </w:rPr>
      </w:pPr>
    </w:p>
    <w:p w14:paraId="4736821F">
      <w:pPr>
        <w:spacing w:line="260" w:lineRule="auto"/>
        <w:rPr>
          <w:rFonts w:ascii="Arial"/>
          <w:sz w:val="21"/>
        </w:rPr>
      </w:pPr>
    </w:p>
    <w:p w14:paraId="14846CC1">
      <w:pPr>
        <w:spacing w:line="260" w:lineRule="auto"/>
        <w:rPr>
          <w:rFonts w:ascii="Arial"/>
          <w:sz w:val="21"/>
        </w:rPr>
      </w:pPr>
    </w:p>
    <w:p w14:paraId="6BFE39C8">
      <w:pPr>
        <w:spacing w:line="260" w:lineRule="auto"/>
        <w:rPr>
          <w:rFonts w:ascii="Arial"/>
          <w:sz w:val="21"/>
        </w:rPr>
      </w:pPr>
    </w:p>
    <w:p w14:paraId="71867705">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2DCD430C">
      <w:pPr>
        <w:spacing w:before="2"/>
      </w:pPr>
    </w:p>
    <w:p w14:paraId="4D3728C3">
      <w:pPr>
        <w:spacing w:before="2"/>
      </w:pPr>
    </w:p>
    <w:p w14:paraId="18BE0E30">
      <w:pPr>
        <w:spacing w:before="2"/>
      </w:pPr>
    </w:p>
    <w:p w14:paraId="01394FD9">
      <w:pPr>
        <w:spacing w:before="2"/>
      </w:pPr>
    </w:p>
    <w:p w14:paraId="1D2146C4">
      <w:pPr>
        <w:spacing w:before="2"/>
      </w:pPr>
    </w:p>
    <w:p w14:paraId="5F0CD96E">
      <w:pPr>
        <w:spacing w:before="2"/>
      </w:pPr>
    </w:p>
    <w:p w14:paraId="652F62DE">
      <w:pPr>
        <w:spacing w:before="2"/>
      </w:pPr>
    </w:p>
    <w:p w14:paraId="10386CAC">
      <w:pPr>
        <w:spacing w:before="2"/>
      </w:pPr>
    </w:p>
    <w:p w14:paraId="51A39D49">
      <w:pPr>
        <w:spacing w:before="2"/>
      </w:pPr>
    </w:p>
    <w:p w14:paraId="486C33AB">
      <w:pPr>
        <w:spacing w:before="2"/>
      </w:pPr>
    </w:p>
    <w:p w14:paraId="654259B4">
      <w:pPr>
        <w:spacing w:before="2"/>
      </w:pPr>
    </w:p>
    <w:p w14:paraId="2D226EA6">
      <w:pPr>
        <w:spacing w:before="2"/>
      </w:pPr>
    </w:p>
    <w:p w14:paraId="387185D3">
      <w:pPr>
        <w:spacing w:before="2"/>
      </w:pPr>
    </w:p>
    <w:p w14:paraId="582B1319">
      <w:pPr>
        <w:spacing w:before="2"/>
      </w:pPr>
    </w:p>
    <w:p w14:paraId="53F7BD99">
      <w:pPr>
        <w:spacing w:before="2"/>
      </w:pPr>
    </w:p>
    <w:p w14:paraId="2EE90A02">
      <w:pPr>
        <w:spacing w:before="2"/>
      </w:pPr>
    </w:p>
    <w:p w14:paraId="024693A9">
      <w:pPr>
        <w:spacing w:before="1"/>
      </w:pPr>
    </w:p>
    <w:p w14:paraId="6AF40D75">
      <w:pPr>
        <w:spacing w:before="1"/>
      </w:pPr>
    </w:p>
    <w:p w14:paraId="38FE5A3C">
      <w:pPr>
        <w:spacing w:before="1"/>
      </w:pPr>
    </w:p>
    <w:p w14:paraId="191BE2B4">
      <w:pPr>
        <w:spacing w:before="1"/>
      </w:pPr>
    </w:p>
    <w:p w14:paraId="3E413634">
      <w:pPr>
        <w:spacing w:before="1"/>
      </w:pPr>
    </w:p>
    <w:p w14:paraId="0630B406">
      <w:pPr>
        <w:spacing w:before="1"/>
      </w:pPr>
    </w:p>
    <w:p w14:paraId="6DFFB79B">
      <w:pPr>
        <w:spacing w:before="1"/>
      </w:pPr>
    </w:p>
    <w:p w14:paraId="0F37BCEE">
      <w:pPr>
        <w:spacing w:before="1"/>
      </w:pPr>
    </w:p>
    <w:p w14:paraId="3C2052EB">
      <w:pPr>
        <w:spacing w:before="1"/>
      </w:pPr>
    </w:p>
    <w:p w14:paraId="29834554">
      <w:pPr>
        <w:spacing w:before="1"/>
      </w:pPr>
    </w:p>
    <w:p w14:paraId="7B6D664B">
      <w:pPr>
        <w:sectPr>
          <w:type w:val="continuous"/>
          <w:pgSz w:w="11905" w:h="16840"/>
          <w:pgMar w:top="1210" w:right="924" w:bottom="1189" w:left="1785" w:header="0" w:footer="939" w:gutter="0"/>
          <w:pgNumType w:fmt="decimal"/>
          <w:cols w:equalWidth="0" w:num="1">
            <w:col w:w="9195"/>
          </w:cols>
        </w:sectPr>
      </w:pPr>
    </w:p>
    <w:p w14:paraId="548387D4">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pacing w:val="1"/>
          <w:sz w:val="24"/>
          <w:szCs w:val="24"/>
        </w:rPr>
      </w:pP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业</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村</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部</w:t>
      </w:r>
      <w:r>
        <w:rPr>
          <w:rFonts w:hint="eastAsia" w:ascii="楷体" w:hAnsi="楷体" w:eastAsia="楷体" w:cs="楷体"/>
          <w:spacing w:val="1"/>
          <w:sz w:val="24"/>
          <w:szCs w:val="24"/>
        </w:rPr>
        <w:t xml:space="preserve"> </w:t>
      </w:r>
    </w:p>
    <w:p w14:paraId="5E69E46A">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z w:val="24"/>
          <w:szCs w:val="24"/>
        </w:rPr>
      </w:pPr>
      <w:r>
        <w:rPr>
          <w:rFonts w:hint="eastAsia" w:ascii="楷体" w:hAnsi="楷体" w:eastAsia="楷体" w:cs="楷体"/>
          <w:spacing w:val="-5"/>
          <w:sz w:val="24"/>
          <w:szCs w:val="24"/>
        </w:rPr>
        <w:t>国家市场监督管理总局</w:t>
      </w:r>
    </w:p>
    <w:p w14:paraId="20D8A28F">
      <w:pPr>
        <w:spacing w:line="14" w:lineRule="auto"/>
        <w:rPr>
          <w:rFonts w:hint="eastAsia" w:ascii="楷体" w:hAnsi="楷体" w:eastAsia="楷体" w:cs="楷体"/>
          <w:sz w:val="2"/>
        </w:rPr>
      </w:pPr>
      <w:r>
        <w:rPr>
          <w:rFonts w:hint="eastAsia" w:ascii="楷体" w:hAnsi="楷体" w:eastAsia="楷体" w:cs="楷体"/>
          <w:sz w:val="2"/>
          <w:szCs w:val="2"/>
        </w:rPr>
        <w:br w:type="column"/>
      </w:r>
    </w:p>
    <w:p w14:paraId="076848C6">
      <w:pPr>
        <w:pStyle w:val="3"/>
        <w:spacing w:before="257" w:line="192" w:lineRule="auto"/>
        <w:rPr>
          <w:rFonts w:hint="eastAsia" w:ascii="楷体" w:hAnsi="楷体" w:eastAsia="楷体" w:cs="楷体"/>
          <w:sz w:val="24"/>
          <w:szCs w:val="24"/>
        </w:rPr>
      </w:pPr>
      <w:r>
        <w:rPr>
          <w:rFonts w:hint="eastAsia" w:ascii="楷体" w:hAnsi="楷体" w:eastAsia="楷体" w:cs="楷体"/>
          <w:spacing w:val="-10"/>
          <w:sz w:val="24"/>
          <w:szCs w:val="24"/>
        </w:rPr>
        <w:t>制定</w:t>
      </w:r>
    </w:p>
    <w:p w14:paraId="5457938E">
      <w:pPr>
        <w:spacing w:line="192" w:lineRule="auto"/>
        <w:rPr>
          <w:rFonts w:hint="eastAsia" w:ascii="楷体" w:hAnsi="楷体" w:eastAsia="楷体" w:cs="楷体"/>
        </w:rPr>
        <w:sectPr>
          <w:type w:val="continuous"/>
          <w:pgSz w:w="11905" w:h="16840"/>
          <w:pgMar w:top="1210" w:right="924" w:bottom="1189" w:left="1785" w:header="0" w:footer="939" w:gutter="0"/>
          <w:pgNumType w:fmt="decimal"/>
          <w:cols w:equalWidth="0" w:num="2">
            <w:col w:w="6066" w:space="100"/>
            <w:col w:w="3029"/>
          </w:cols>
        </w:sectPr>
      </w:pPr>
    </w:p>
    <w:p w14:paraId="7A058733">
      <w:pPr>
        <w:spacing w:line="378" w:lineRule="auto"/>
        <w:rPr>
          <w:rFonts w:hint="eastAsia" w:ascii="楷体" w:hAnsi="楷体" w:eastAsia="楷体" w:cs="楷体"/>
          <w:sz w:val="21"/>
        </w:rPr>
      </w:pPr>
    </w:p>
    <w:p w14:paraId="14A99F85">
      <w:pPr>
        <w:pStyle w:val="3"/>
        <w:spacing w:before="88" w:line="191" w:lineRule="auto"/>
        <w:ind w:left="2995"/>
        <w:rPr>
          <w:rFonts w:hint="eastAsia" w:ascii="楷体" w:hAnsi="楷体" w:eastAsia="楷体" w:cs="楷体"/>
          <w:sz w:val="27"/>
          <w:szCs w:val="27"/>
        </w:rPr>
      </w:pPr>
      <w:r>
        <w:rPr>
          <w:rFonts w:hint="eastAsia" w:ascii="楷体" w:hAnsi="楷体" w:eastAsia="楷体" w:cs="楷体"/>
          <w:spacing w:val="5"/>
          <w:sz w:val="27"/>
          <w:szCs w:val="27"/>
        </w:rPr>
        <w:t>二〇二一 年</w:t>
      </w:r>
      <w:r>
        <w:rPr>
          <w:rFonts w:hint="eastAsia" w:ascii="楷体" w:hAnsi="楷体" w:eastAsia="楷体" w:cs="楷体"/>
          <w:spacing w:val="19"/>
          <w:sz w:val="27"/>
          <w:szCs w:val="27"/>
        </w:rPr>
        <w:t xml:space="preserve"> </w:t>
      </w:r>
      <w:r>
        <w:rPr>
          <w:rFonts w:hint="eastAsia" w:ascii="楷体" w:hAnsi="楷体" w:eastAsia="楷体" w:cs="楷体"/>
          <w:spacing w:val="5"/>
          <w:sz w:val="27"/>
          <w:szCs w:val="27"/>
        </w:rPr>
        <w:t>九</w:t>
      </w:r>
      <w:r>
        <w:rPr>
          <w:rFonts w:hint="eastAsia" w:ascii="楷体" w:hAnsi="楷体" w:eastAsia="楷体" w:cs="楷体"/>
          <w:spacing w:val="32"/>
          <w:sz w:val="27"/>
          <w:szCs w:val="27"/>
        </w:rPr>
        <w:t xml:space="preserve"> </w:t>
      </w:r>
      <w:r>
        <w:rPr>
          <w:rFonts w:hint="eastAsia" w:ascii="楷体" w:hAnsi="楷体" w:eastAsia="楷体" w:cs="楷体"/>
          <w:spacing w:val="5"/>
          <w:sz w:val="27"/>
          <w:szCs w:val="27"/>
        </w:rPr>
        <w:t>月</w:t>
      </w:r>
    </w:p>
    <w:p w14:paraId="07112FBC">
      <w:pPr>
        <w:spacing w:line="191" w:lineRule="auto"/>
        <w:rPr>
          <w:sz w:val="27"/>
          <w:szCs w:val="27"/>
        </w:rPr>
        <w:sectPr>
          <w:type w:val="continuous"/>
          <w:pgSz w:w="11905" w:h="16840"/>
          <w:pgMar w:top="1210" w:right="924" w:bottom="1189" w:left="1785" w:header="0" w:footer="939" w:gutter="0"/>
          <w:pgNumType w:fmt="decimal"/>
          <w:cols w:equalWidth="0" w:num="1">
            <w:col w:w="9195"/>
          </w:cols>
        </w:sectPr>
      </w:pPr>
    </w:p>
    <w:p w14:paraId="0CF301A5">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1D82A8DC">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8A3D585">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0828C4C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16AA260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582C15A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5CF4DFBD">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62B5903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1739F20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A7ED023">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218A23F9">
      <w:pPr>
        <w:keepNext w:val="0"/>
        <w:keepLines w:val="0"/>
        <w:pageBreakBefore w:val="0"/>
        <w:widowControl w:val="0"/>
        <w:kinsoku/>
        <w:wordWrap/>
        <w:overflowPunct/>
        <w:topLinePunct w:val="0"/>
        <w:autoSpaceDE/>
        <w:autoSpaceDN/>
        <w:bidi w:val="0"/>
        <w:adjustRightInd/>
        <w:snapToGrid/>
        <w:spacing w:line="269" w:lineRule="auto"/>
        <w:ind w:right="90" w:rightChars="43"/>
        <w:textAlignment w:val="auto"/>
        <w:rPr>
          <w:rFonts w:ascii="仿宋" w:hAnsi="仿宋" w:eastAsia="仿宋" w:cs="仿宋"/>
          <w:sz w:val="30"/>
          <w:szCs w:val="30"/>
        </w:rPr>
        <w:sectPr>
          <w:footerReference r:id="rId4" w:type="default"/>
          <w:pgSz w:w="11905" w:h="16840"/>
          <w:pgMar w:top="1431" w:right="1592" w:bottom="1189" w:left="1437" w:header="0" w:footer="939" w:gutter="0"/>
          <w:pgNumType w:fmt="decimal"/>
          <w:cols w:space="720" w:num="1"/>
        </w:sectPr>
      </w:pPr>
    </w:p>
    <w:p w14:paraId="29ABD63E">
      <w:pPr>
        <w:spacing w:line="320" w:lineRule="auto"/>
        <w:rPr>
          <w:rFonts w:ascii="Arial"/>
          <w:sz w:val="21"/>
        </w:rPr>
      </w:pPr>
    </w:p>
    <w:p w14:paraId="421C9CD7">
      <w:pPr>
        <w:pStyle w:val="3"/>
        <w:spacing w:before="88" w:line="347" w:lineRule="auto"/>
        <w:ind w:left="23" w:right="401" w:firstLine="563"/>
        <w:rPr>
          <w:sz w:val="27"/>
          <w:szCs w:val="27"/>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042F14DC">
      <w:pPr>
        <w:spacing w:line="296" w:lineRule="auto"/>
        <w:rPr>
          <w:rFonts w:ascii="Arial"/>
          <w:sz w:val="21"/>
        </w:rPr>
      </w:pPr>
    </w:p>
    <w:p w14:paraId="07D1C86F">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7E85DB9F">
      <w:pPr>
        <w:spacing w:before="187" w:line="223" w:lineRule="auto"/>
        <w:ind w:left="622"/>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东方市板桥镇抱利村股份经济合作社</w:t>
      </w:r>
      <w:r>
        <w:rPr>
          <w:rFonts w:ascii="仿宋" w:hAnsi="仿宋" w:eastAsia="仿宋" w:cs="仿宋"/>
          <w:sz w:val="27"/>
          <w:szCs w:val="27"/>
          <w:u w:val="single" w:color="auto"/>
        </w:rPr>
        <w:t xml:space="preserve">  </w:t>
      </w:r>
    </w:p>
    <w:p w14:paraId="1F85BECF">
      <w:pPr>
        <w:spacing w:before="193" w:line="223" w:lineRule="auto"/>
        <w:ind w:left="614"/>
        <w:rPr>
          <w:rFonts w:ascii="仿宋" w:hAnsi="仿宋" w:eastAsia="仿宋" w:cs="仿宋"/>
          <w:sz w:val="27"/>
          <w:szCs w:val="27"/>
        </w:rPr>
      </w:pP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hint="eastAsia" w:ascii="宋体" w:hAnsi="宋体" w:eastAsia="宋体" w:cs="宋体"/>
          <w:bCs w:val="0"/>
          <w:color w:val="auto"/>
          <w:sz w:val="24"/>
          <w:szCs w:val="24"/>
          <w:highlight w:val="none"/>
          <w:u w:val="single" w:color="auto"/>
          <w:lang w:val="en-US" w:eastAsia="zh-CN"/>
        </w:rPr>
        <w:t>N2469007MF0174099K</w:t>
      </w:r>
      <w:r>
        <w:rPr>
          <w:rFonts w:ascii="仿宋" w:hAnsi="仿宋" w:eastAsia="仿宋" w:cs="仿宋"/>
          <w:sz w:val="27"/>
          <w:szCs w:val="27"/>
          <w:u w:val="single" w:color="auto"/>
        </w:rPr>
        <w:t xml:space="preserve">             </w:t>
      </w:r>
    </w:p>
    <w:p w14:paraId="048957DF">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53FC6854">
      <w:pPr>
        <w:spacing w:before="194" w:line="340" w:lineRule="auto"/>
        <w:ind w:left="587" w:right="1251" w:firstLine="4"/>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陈仁荣        </w:t>
      </w:r>
      <w:r>
        <w:rPr>
          <w:rFonts w:ascii="仿宋" w:hAnsi="仿宋" w:eastAsia="仿宋" w:cs="仿宋"/>
          <w:spacing w:val="4"/>
          <w:sz w:val="27"/>
          <w:szCs w:val="27"/>
          <w:u w:val="none" w:color="auto"/>
        </w:rPr>
        <w:t xml:space="preserve">     </w:t>
      </w:r>
    </w:p>
    <w:p w14:paraId="1A64E8F7">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宋体" w:hAnsi="宋体" w:eastAsia="宋体" w:cs="宋体"/>
          <w:bCs w:val="0"/>
          <w:color w:val="auto"/>
          <w:sz w:val="24"/>
          <w:szCs w:val="24"/>
          <w:highlight w:val="none"/>
          <w:u w:val="single" w:color="auto"/>
          <w:lang w:val="en-US" w:eastAsia="zh-CN"/>
        </w:rPr>
        <w:t>460032197810186299</w:t>
      </w:r>
      <w:r>
        <w:rPr>
          <w:rFonts w:ascii="仿宋" w:hAnsi="仿宋" w:eastAsia="仿宋" w:cs="仿宋"/>
          <w:sz w:val="27"/>
          <w:szCs w:val="27"/>
          <w:u w:val="single" w:color="auto"/>
        </w:rPr>
        <w:t xml:space="preserve">                  </w:t>
      </w:r>
    </w:p>
    <w:p w14:paraId="3EA2B14D">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宋体" w:hAnsi="宋体" w:eastAsia="宋体" w:cs="宋体"/>
          <w:bCs w:val="0"/>
          <w:color w:val="auto"/>
          <w:sz w:val="24"/>
          <w:szCs w:val="24"/>
          <w:highlight w:val="none"/>
          <w:u w:val="single" w:color="auto"/>
        </w:rPr>
        <w:t>东方市</w:t>
      </w:r>
      <w:r>
        <w:rPr>
          <w:rFonts w:hint="eastAsia" w:ascii="宋体" w:hAnsi="宋体" w:eastAsia="宋体" w:cs="宋体"/>
          <w:bCs w:val="0"/>
          <w:color w:val="auto"/>
          <w:sz w:val="24"/>
          <w:szCs w:val="24"/>
          <w:highlight w:val="none"/>
          <w:u w:val="single" w:color="auto"/>
          <w:lang w:val="en-US" w:eastAsia="zh-CN"/>
        </w:rPr>
        <w:t>板桥镇抱利村</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宋体" w:hAnsi="宋体" w:eastAsia="宋体" w:cs="宋体"/>
          <w:bCs w:val="0"/>
          <w:color w:val="auto"/>
          <w:sz w:val="24"/>
          <w:szCs w:val="24"/>
          <w:highlight w:val="none"/>
          <w:u w:val="single" w:color="auto"/>
          <w:lang w:val="en-US" w:eastAsia="zh-CN"/>
        </w:rPr>
        <w:t>13976355848</w:t>
      </w:r>
      <w:r>
        <w:rPr>
          <w:rFonts w:ascii="仿宋" w:hAnsi="仿宋" w:eastAsia="仿宋" w:cs="仿宋"/>
          <w:sz w:val="27"/>
          <w:szCs w:val="27"/>
          <w:u w:val="single" w:color="auto"/>
        </w:rPr>
        <w:t xml:space="preserve">     </w:t>
      </w:r>
    </w:p>
    <w:p w14:paraId="4FDE2764">
      <w:pPr>
        <w:spacing w:before="189"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2640D49C">
      <w:pPr>
        <w:spacing w:line="478" w:lineRule="auto"/>
        <w:rPr>
          <w:rFonts w:ascii="Arial"/>
          <w:sz w:val="21"/>
        </w:rPr>
      </w:pPr>
    </w:p>
    <w:p w14:paraId="0235F85C">
      <w:pPr>
        <w:spacing w:before="88" w:line="223" w:lineRule="auto"/>
        <w:ind w:left="620"/>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79AC46E0">
      <w:pPr>
        <w:spacing w:before="194" w:line="223" w:lineRule="auto"/>
        <w:ind w:left="614"/>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48D728CB">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23935DC2">
      <w:pPr>
        <w:spacing w:before="194" w:line="340" w:lineRule="auto"/>
        <w:ind w:left="587" w:right="1251" w:firstLine="4"/>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49856D50">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77A59CCF">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4BF89C90">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5D345CFC">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263FDF1D">
      <w:pPr>
        <w:spacing w:before="188" w:line="289" w:lineRule="auto"/>
        <w:ind w:left="33" w:right="422" w:firstLine="362"/>
        <w:rPr>
          <w:rFonts w:ascii="仿宋" w:hAnsi="仿宋" w:eastAsia="仿宋" w:cs="仿宋"/>
          <w:color w:val="000000" w:themeColor="text1"/>
          <w:sz w:val="27"/>
          <w:szCs w:val="27"/>
          <w14:textFill>
            <w14:solidFill>
              <w14:schemeClr w14:val="tx1"/>
            </w14:solidFill>
          </w14:textFill>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w:t>
      </w:r>
      <w:r>
        <w:rPr>
          <w:rFonts w:ascii="仿宋" w:hAnsi="仿宋" w:eastAsia="仿宋" w:cs="仿宋"/>
          <w:color w:val="000000" w:themeColor="text1"/>
          <w:sz w:val="27"/>
          <w:szCs w:val="27"/>
          <w14:textFill>
            <w14:solidFill>
              <w14:schemeClr w14:val="tx1"/>
            </w14:solidFill>
          </w14:textFill>
        </w:rPr>
        <w:t>方将</w:t>
      </w:r>
      <w:r>
        <w:rPr>
          <w:rFonts w:hint="eastAsia" w:ascii="仿宋" w:hAnsi="仿宋" w:eastAsia="仿宋" w:cs="仿宋"/>
          <w:color w:val="000000" w:themeColor="text1"/>
          <w:sz w:val="27"/>
          <w:szCs w:val="27"/>
          <w:lang w:val="en-US" w:eastAsia="zh-CN"/>
          <w14:textFill>
            <w14:solidFill>
              <w14:schemeClr w14:val="tx1"/>
            </w14:solidFill>
          </w14:textFill>
        </w:rPr>
        <w:t>东方市板桥镇抱利村“学校园”</w:t>
      </w:r>
      <w:r>
        <w:rPr>
          <w:rFonts w:ascii="仿宋" w:hAnsi="仿宋" w:eastAsia="仿宋" w:cs="仿宋"/>
          <w:color w:val="000000" w:themeColor="text1"/>
          <w:spacing w:val="-134"/>
          <w:sz w:val="27"/>
          <w:szCs w:val="27"/>
          <w14:textFill>
            <w14:solidFill>
              <w14:schemeClr w14:val="tx1"/>
            </w14:solidFill>
          </w14:textFill>
        </w:rPr>
        <w:t xml:space="preserve"> </w:t>
      </w:r>
      <w:r>
        <w:rPr>
          <w:rFonts w:ascii="仿宋" w:hAnsi="仿宋" w:eastAsia="仿宋" w:cs="仿宋"/>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5"/>
          <w:sz w:val="27"/>
          <w:szCs w:val="27"/>
          <w:u w:val="single" w:color="auto"/>
          <w:lang w:val="en-US" w:eastAsia="zh-CN"/>
          <w14:textFill>
            <w14:solidFill>
              <w14:schemeClr w14:val="tx1"/>
            </w14:solidFill>
          </w14:textFill>
        </w:rPr>
        <w:t>18</w:t>
      </w:r>
      <w:r>
        <w:rPr>
          <w:rFonts w:ascii="仿宋" w:hAnsi="仿宋" w:eastAsia="仿宋" w:cs="仿宋"/>
          <w:color w:val="000000" w:themeColor="text1"/>
          <w:spacing w:val="5"/>
          <w:sz w:val="27"/>
          <w:szCs w:val="27"/>
          <w:u w:val="single" w:color="auto"/>
          <w14:textFill>
            <w14:solidFill>
              <w14:schemeClr w14:val="tx1"/>
            </w14:solidFill>
          </w14:textFill>
        </w:rPr>
        <w:t xml:space="preserve">      </w:t>
      </w:r>
      <w:r>
        <w:rPr>
          <w:rFonts w:ascii="仿宋" w:hAnsi="仿宋" w:eastAsia="仿宋" w:cs="仿宋"/>
          <w:color w:val="000000" w:themeColor="text1"/>
          <w:spacing w:val="-120"/>
          <w:sz w:val="27"/>
          <w:szCs w:val="27"/>
          <w14:textFill>
            <w14:solidFill>
              <w14:schemeClr w14:val="tx1"/>
            </w14:solidFill>
          </w14:textFill>
        </w:rPr>
        <w:t xml:space="preserve"> </w:t>
      </w:r>
      <w:r>
        <w:rPr>
          <w:rFonts w:ascii="仿宋" w:hAnsi="仿宋" w:eastAsia="仿宋" w:cs="仿宋"/>
          <w:color w:val="000000" w:themeColor="text1"/>
          <w:sz w:val="27"/>
          <w:szCs w:val="27"/>
          <w14:textFill>
            <w14:solidFill>
              <w14:schemeClr w14:val="tx1"/>
            </w14:solidFill>
          </w14:textFill>
        </w:rPr>
        <w:t>亩</w:t>
      </w:r>
      <w:r>
        <w:rPr>
          <w:rFonts w:hint="eastAsia" w:ascii="仿宋" w:hAnsi="仿宋" w:eastAsia="仿宋" w:cs="仿宋"/>
          <w:color w:val="000000" w:themeColor="text1"/>
          <w:sz w:val="27"/>
          <w:szCs w:val="27"/>
          <w:lang w:val="en-US" w:eastAsia="zh-CN"/>
          <w14:textFill>
            <w14:solidFill>
              <w14:schemeClr w14:val="tx1"/>
            </w14:solidFill>
          </w14:textFill>
        </w:rPr>
        <w:t>集体</w:t>
      </w:r>
      <w:r>
        <w:rPr>
          <w:rFonts w:ascii="仿宋" w:hAnsi="仿宋" w:eastAsia="仿宋" w:cs="仿宋"/>
          <w:color w:val="000000" w:themeColor="text1"/>
          <w:sz w:val="27"/>
          <w:szCs w:val="27"/>
          <w14:textFill>
            <w14:solidFill>
              <w14:schemeClr w14:val="tx1"/>
            </w14:solidFill>
          </w14:textFill>
        </w:rPr>
        <w:t>土地经营权（具体见</w:t>
      </w:r>
      <w:r>
        <w:rPr>
          <w:rFonts w:ascii="仿宋" w:hAnsi="仿宋" w:eastAsia="仿宋" w:cs="仿宋"/>
          <w:color w:val="000000" w:themeColor="text1"/>
          <w:spacing w:val="2"/>
          <w:sz w:val="27"/>
          <w:szCs w:val="27"/>
          <w14:textFill>
            <w14:solidFill>
              <w14:schemeClr w14:val="tx1"/>
            </w14:solidFill>
          </w14:textFill>
        </w:rPr>
        <w:t>下表及附图）出租给乙方。</w:t>
      </w:r>
    </w:p>
    <w:p w14:paraId="0BED5D3D">
      <w:pPr>
        <w:spacing w:line="289" w:lineRule="auto"/>
        <w:rPr>
          <w:rFonts w:ascii="仿宋" w:hAnsi="仿宋" w:eastAsia="仿宋" w:cs="仿宋"/>
          <w:color w:val="000000" w:themeColor="text1"/>
          <w:sz w:val="27"/>
          <w:szCs w:val="27"/>
          <w14:textFill>
            <w14:solidFill>
              <w14:schemeClr w14:val="tx1"/>
            </w14:solidFill>
          </w14:textFill>
        </w:rPr>
        <w:sectPr>
          <w:footerReference r:id="rId5" w:type="default"/>
          <w:pgSz w:w="11905" w:h="16840"/>
          <w:pgMar w:top="1431" w:right="1437" w:bottom="1185" w:left="1785" w:header="0" w:footer="939" w:gutter="0"/>
          <w:pgNumType w:fmt="decimal"/>
          <w:cols w:space="720" w:num="1"/>
        </w:sectPr>
      </w:pPr>
    </w:p>
    <w:p w14:paraId="1109409B">
      <w:pPr>
        <w:spacing w:line="211" w:lineRule="exact"/>
        <w:rPr>
          <w:color w:val="000000" w:themeColor="text1"/>
          <w14:textFill>
            <w14:solidFill>
              <w14:schemeClr w14:val="tx1"/>
            </w14:solidFill>
          </w14:textFill>
        </w:rPr>
      </w:pPr>
    </w:p>
    <w:tbl>
      <w:tblPr>
        <w:tblStyle w:val="8"/>
        <w:tblpPr w:leftFromText="180" w:rightFromText="180" w:vertAnchor="text" w:horzAnchor="page" w:tblpX="598" w:tblpY="217"/>
        <w:tblOverlap w:val="never"/>
        <w:tblW w:w="112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5CC0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6BE93802">
            <w:pPr>
              <w:keepNext w:val="0"/>
              <w:keepLines w:val="0"/>
              <w:pageBreakBefore w:val="0"/>
              <w:widowControl w:val="0"/>
              <w:kinsoku/>
              <w:wordWrap w:val="0"/>
              <w:overflowPunct/>
              <w:topLinePunct w:val="0"/>
              <w:autoSpaceDE w:val="0"/>
              <w:autoSpaceDN w:val="0"/>
              <w:bidi w:val="0"/>
              <w:adjustRightInd/>
              <w:snapToGrid/>
              <w:spacing w:before="182" w:line="208" w:lineRule="auto"/>
              <w:ind w:left="440"/>
              <w:textAlignment w:val="auto"/>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4"/>
                <w:sz w:val="21"/>
                <w:szCs w:val="21"/>
                <w14:textFill>
                  <w14:solidFill>
                    <w14:schemeClr w14:val="tx1"/>
                  </w14:solidFill>
                </w14:textFill>
              </w:rPr>
              <w:t>序</w:t>
            </w:r>
            <w:r>
              <w:rPr>
                <w:rFonts w:ascii="楷体" w:hAnsi="楷体" w:eastAsia="楷体" w:cs="楷体"/>
                <w:color w:val="000000" w:themeColor="text1"/>
                <w:spacing w:val="25"/>
                <w:sz w:val="21"/>
                <w:szCs w:val="21"/>
                <w14:textFill>
                  <w14:solidFill>
                    <w14:schemeClr w14:val="tx1"/>
                  </w14:solidFill>
                </w14:textFill>
              </w:rPr>
              <w:t xml:space="preserve"> </w:t>
            </w:r>
            <w:r>
              <w:rPr>
                <w:rFonts w:ascii="楷体" w:hAnsi="楷体" w:eastAsia="楷体" w:cs="楷体"/>
                <w:color w:val="000000" w:themeColor="text1"/>
                <w:spacing w:val="-4"/>
                <w:sz w:val="21"/>
                <w:szCs w:val="21"/>
                <w14:textFill>
                  <w14:solidFill>
                    <w14:schemeClr w14:val="tx1"/>
                  </w14:solidFill>
                </w14:textFill>
              </w:rPr>
              <w:t>号</w:t>
            </w:r>
          </w:p>
        </w:tc>
        <w:tc>
          <w:tcPr>
            <w:tcW w:w="885" w:type="dxa"/>
            <w:vMerge w:val="restart"/>
            <w:tcBorders>
              <w:bottom w:val="nil"/>
            </w:tcBorders>
            <w:vAlign w:val="top"/>
          </w:tcPr>
          <w:p w14:paraId="1EEE5EF1">
            <w:pPr>
              <w:pStyle w:val="9"/>
              <w:keepNext w:val="0"/>
              <w:keepLines w:val="0"/>
              <w:pageBreakBefore w:val="0"/>
              <w:widowControl w:val="0"/>
              <w:kinsoku/>
              <w:wordWrap w:val="0"/>
              <w:overflowPunct/>
              <w:topLinePunct w:val="0"/>
              <w:autoSpaceDE w:val="0"/>
              <w:autoSpaceDN w:val="0"/>
              <w:bidi w:val="0"/>
              <w:adjustRightInd/>
              <w:snapToGrid/>
              <w:spacing w:line="375" w:lineRule="auto"/>
              <w:textAlignment w:val="auto"/>
              <w:rPr>
                <w:color w:val="000000" w:themeColor="text1"/>
                <w14:textFill>
                  <w14:solidFill>
                    <w14:schemeClr w14:val="tx1"/>
                  </w14:solidFill>
                </w14:textFill>
              </w:rPr>
            </w:pPr>
          </w:p>
          <w:p w14:paraId="061F956A">
            <w:pPr>
              <w:keepNext w:val="0"/>
              <w:keepLines w:val="0"/>
              <w:pageBreakBefore w:val="0"/>
              <w:widowControl w:val="0"/>
              <w:kinsoku/>
              <w:wordWrap w:val="0"/>
              <w:overflowPunct/>
              <w:topLinePunct w:val="0"/>
              <w:autoSpaceDE w:val="0"/>
              <w:autoSpaceDN w:val="0"/>
              <w:bidi w:val="0"/>
              <w:adjustRightInd/>
              <w:snapToGrid/>
              <w:spacing w:before="68" w:line="273" w:lineRule="auto"/>
              <w:ind w:left="137" w:right="152" w:firstLine="205"/>
              <w:jc w:val="right"/>
              <w:textAlignment w:val="auto"/>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6"/>
                <w:sz w:val="21"/>
                <w:szCs w:val="21"/>
                <w14:textFill>
                  <w14:solidFill>
                    <w14:schemeClr w14:val="tx1"/>
                  </w14:solidFill>
                </w14:textFill>
              </w:rPr>
              <w:t>村</w:t>
            </w:r>
            <w:r>
              <w:rPr>
                <w:rFonts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pacing w:val="-14"/>
                <w:sz w:val="21"/>
                <w:szCs w:val="21"/>
                <w14:textFill>
                  <w14:solidFill>
                    <w14:schemeClr w14:val="tx1"/>
                  </w14:solidFill>
                </w14:textFill>
              </w:rPr>
              <w:t>（组）</w:t>
            </w:r>
          </w:p>
        </w:tc>
        <w:tc>
          <w:tcPr>
            <w:tcW w:w="979" w:type="dxa"/>
            <w:vMerge w:val="restart"/>
            <w:tcBorders>
              <w:bottom w:val="nil"/>
            </w:tcBorders>
            <w:vAlign w:val="top"/>
          </w:tcPr>
          <w:p w14:paraId="64DFE157">
            <w:pPr>
              <w:pStyle w:val="9"/>
              <w:keepNext w:val="0"/>
              <w:keepLines w:val="0"/>
              <w:pageBreakBefore w:val="0"/>
              <w:widowControl w:val="0"/>
              <w:kinsoku/>
              <w:wordWrap w:val="0"/>
              <w:overflowPunct/>
              <w:topLinePunct w:val="0"/>
              <w:autoSpaceDE w:val="0"/>
              <w:autoSpaceDN w:val="0"/>
              <w:bidi w:val="0"/>
              <w:adjustRightInd/>
              <w:snapToGrid/>
              <w:spacing w:line="376" w:lineRule="auto"/>
              <w:jc w:val="center"/>
              <w:textAlignment w:val="auto"/>
              <w:rPr>
                <w:color w:val="000000" w:themeColor="text1"/>
                <w14:textFill>
                  <w14:solidFill>
                    <w14:schemeClr w14:val="tx1"/>
                  </w14:solidFill>
                </w14:textFill>
              </w:rPr>
            </w:pPr>
          </w:p>
          <w:p w14:paraId="13294015">
            <w:pPr>
              <w:pStyle w:val="2"/>
              <w:bidi w:val="0"/>
              <w:ind w:left="0" w:leftChars="0" w:firstLine="0" w:firstLineChars="0"/>
              <w:jc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地块</w:t>
            </w:r>
          </w:p>
          <w:p w14:paraId="60ADD4C0">
            <w:pPr>
              <w:pStyle w:val="2"/>
              <w:bidi w:val="0"/>
              <w:ind w:left="0" w:leftChars="0" w:firstLine="0" w:firstLineChars="0"/>
              <w:jc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5"/>
                <w:sz w:val="21"/>
                <w:szCs w:val="21"/>
                <w14:textFill>
                  <w14:solidFill>
                    <w14:schemeClr w14:val="tx1"/>
                  </w14:solidFill>
                </w14:textFill>
              </w:rPr>
              <w:t>名称</w:t>
            </w:r>
          </w:p>
        </w:tc>
        <w:tc>
          <w:tcPr>
            <w:tcW w:w="1084" w:type="dxa"/>
            <w:vMerge w:val="restart"/>
            <w:tcBorders>
              <w:bottom w:val="nil"/>
            </w:tcBorders>
            <w:vAlign w:val="top"/>
          </w:tcPr>
          <w:p w14:paraId="71B91DB0">
            <w:pPr>
              <w:pStyle w:val="9"/>
              <w:keepNext w:val="0"/>
              <w:keepLines w:val="0"/>
              <w:pageBreakBefore w:val="0"/>
              <w:widowControl w:val="0"/>
              <w:kinsoku/>
              <w:wordWrap w:val="0"/>
              <w:overflowPunct/>
              <w:topLinePunct w:val="0"/>
              <w:autoSpaceDE w:val="0"/>
              <w:autoSpaceDN w:val="0"/>
              <w:bidi w:val="0"/>
              <w:adjustRightInd/>
              <w:snapToGrid/>
              <w:spacing w:line="375" w:lineRule="auto"/>
              <w:jc w:val="center"/>
              <w:textAlignment w:val="auto"/>
              <w:rPr>
                <w:color w:val="000000" w:themeColor="text1"/>
                <w14:textFill>
                  <w14:solidFill>
                    <w14:schemeClr w14:val="tx1"/>
                  </w14:solidFill>
                </w14:textFill>
              </w:rPr>
            </w:pPr>
          </w:p>
          <w:p w14:paraId="5674CAA0">
            <w:pPr>
              <w:pStyle w:val="3"/>
              <w:bidi w:val="0"/>
              <w:jc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地块</w:t>
            </w:r>
          </w:p>
          <w:p w14:paraId="69FD49D3">
            <w:pPr>
              <w:pStyle w:val="3"/>
              <w:bidi w:val="0"/>
              <w:jc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6"/>
                <w:sz w:val="21"/>
                <w:szCs w:val="21"/>
                <w14:textFill>
                  <w14:solidFill>
                    <w14:schemeClr w14:val="tx1"/>
                  </w14:solidFill>
                </w14:textFill>
              </w:rPr>
              <w:t>代码</w:t>
            </w:r>
          </w:p>
        </w:tc>
        <w:tc>
          <w:tcPr>
            <w:tcW w:w="3112" w:type="dxa"/>
            <w:gridSpan w:val="4"/>
            <w:vAlign w:val="top"/>
          </w:tcPr>
          <w:p w14:paraId="08B8AD58">
            <w:pPr>
              <w:keepNext w:val="0"/>
              <w:keepLines w:val="0"/>
              <w:pageBreakBefore w:val="0"/>
              <w:widowControl w:val="0"/>
              <w:kinsoku/>
              <w:wordWrap w:val="0"/>
              <w:overflowPunct/>
              <w:topLinePunct w:val="0"/>
              <w:autoSpaceDE w:val="0"/>
              <w:autoSpaceDN w:val="0"/>
              <w:bidi w:val="0"/>
              <w:adjustRightInd/>
              <w:snapToGrid/>
              <w:spacing w:before="204" w:line="286" w:lineRule="exact"/>
              <w:ind w:left="920"/>
              <w:textAlignment w:val="auto"/>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3"/>
                <w:position w:val="1"/>
                <w:sz w:val="21"/>
                <w:szCs w:val="21"/>
                <w14:textFill>
                  <w14:solidFill>
                    <w14:schemeClr w14:val="tx1"/>
                  </w14:solidFill>
                </w14:textFill>
              </w:rPr>
              <w:t>坐落（四至）</w:t>
            </w:r>
          </w:p>
        </w:tc>
        <w:tc>
          <w:tcPr>
            <w:tcW w:w="1039" w:type="dxa"/>
            <w:vMerge w:val="restart"/>
            <w:tcBorders>
              <w:bottom w:val="nil"/>
            </w:tcBorders>
            <w:vAlign w:val="top"/>
          </w:tcPr>
          <w:p w14:paraId="61ABD896">
            <w:pPr>
              <w:pStyle w:val="9"/>
              <w:keepNext w:val="0"/>
              <w:keepLines w:val="0"/>
              <w:pageBreakBefore w:val="0"/>
              <w:widowControl w:val="0"/>
              <w:kinsoku/>
              <w:wordWrap w:val="0"/>
              <w:overflowPunct/>
              <w:topLinePunct w:val="0"/>
              <w:autoSpaceDE w:val="0"/>
              <w:autoSpaceDN w:val="0"/>
              <w:bidi w:val="0"/>
              <w:adjustRightInd/>
              <w:snapToGrid/>
              <w:spacing w:line="385" w:lineRule="auto"/>
              <w:textAlignment w:val="auto"/>
              <w:rPr>
                <w:color w:val="000000" w:themeColor="text1"/>
                <w14:textFill>
                  <w14:solidFill>
                    <w14:schemeClr w14:val="tx1"/>
                  </w14:solidFill>
                </w14:textFill>
              </w:rPr>
            </w:pPr>
          </w:p>
          <w:p w14:paraId="28B6CDFE">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textAlignment w:val="auto"/>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6"/>
                <w:sz w:val="21"/>
                <w:szCs w:val="21"/>
                <w14:textFill>
                  <w14:solidFill>
                    <w14:schemeClr w14:val="tx1"/>
                  </w14:solidFill>
                </w14:textFill>
              </w:rPr>
              <w:t>面积</w:t>
            </w:r>
            <w:r>
              <w:rPr>
                <w:rFonts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pacing w:val="-14"/>
                <w:sz w:val="21"/>
                <w:szCs w:val="21"/>
                <w14:textFill>
                  <w14:solidFill>
                    <w14:schemeClr w14:val="tx1"/>
                  </w14:solidFill>
                </w14:textFill>
              </w:rPr>
              <w:t>（亩）</w:t>
            </w:r>
          </w:p>
        </w:tc>
        <w:tc>
          <w:tcPr>
            <w:tcW w:w="1034" w:type="dxa"/>
            <w:vMerge w:val="restart"/>
            <w:tcBorders>
              <w:bottom w:val="nil"/>
            </w:tcBorders>
            <w:vAlign w:val="top"/>
          </w:tcPr>
          <w:p w14:paraId="787D0A1B">
            <w:pPr>
              <w:pStyle w:val="9"/>
              <w:keepNext w:val="0"/>
              <w:keepLines w:val="0"/>
              <w:pageBreakBefore w:val="0"/>
              <w:widowControl w:val="0"/>
              <w:kinsoku/>
              <w:wordWrap w:val="0"/>
              <w:overflowPunct/>
              <w:topLinePunct w:val="0"/>
              <w:autoSpaceDE w:val="0"/>
              <w:autoSpaceDN w:val="0"/>
              <w:bidi w:val="0"/>
              <w:adjustRightInd/>
              <w:snapToGrid/>
              <w:spacing w:line="378" w:lineRule="auto"/>
              <w:textAlignment w:val="auto"/>
              <w:rPr>
                <w:color w:val="000000" w:themeColor="text1"/>
                <w14:textFill>
                  <w14:solidFill>
                    <w14:schemeClr w14:val="tx1"/>
                  </w14:solidFill>
                </w14:textFill>
              </w:rPr>
            </w:pPr>
          </w:p>
          <w:p w14:paraId="05B39A72">
            <w:pPr>
              <w:pStyle w:val="2"/>
              <w:bidi w:val="0"/>
              <w:ind w:left="0" w:leftChars="0" w:firstLine="0" w:firstLineChars="0"/>
              <w:jc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质量</w:t>
            </w:r>
          </w:p>
          <w:p w14:paraId="20FE1A68">
            <w:pPr>
              <w:pStyle w:val="2"/>
              <w:bidi w:val="0"/>
              <w:ind w:left="0" w:leftChars="0" w:firstLine="0" w:firstLineChars="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等级</w:t>
            </w:r>
          </w:p>
        </w:tc>
        <w:tc>
          <w:tcPr>
            <w:tcW w:w="1019" w:type="dxa"/>
            <w:vMerge w:val="restart"/>
            <w:tcBorders>
              <w:bottom w:val="nil"/>
            </w:tcBorders>
            <w:vAlign w:val="top"/>
          </w:tcPr>
          <w:p w14:paraId="7CD870D4">
            <w:pPr>
              <w:pStyle w:val="9"/>
              <w:keepNext w:val="0"/>
              <w:keepLines w:val="0"/>
              <w:pageBreakBefore w:val="0"/>
              <w:widowControl w:val="0"/>
              <w:kinsoku/>
              <w:wordWrap w:val="0"/>
              <w:overflowPunct/>
              <w:topLinePunct w:val="0"/>
              <w:autoSpaceDE w:val="0"/>
              <w:autoSpaceDN w:val="0"/>
              <w:bidi w:val="0"/>
              <w:adjustRightInd/>
              <w:snapToGrid/>
              <w:spacing w:line="376" w:lineRule="auto"/>
              <w:textAlignment w:val="auto"/>
              <w:rPr>
                <w:color w:val="000000" w:themeColor="text1"/>
                <w14:textFill>
                  <w14:solidFill>
                    <w14:schemeClr w14:val="tx1"/>
                  </w14:solidFill>
                </w14:textFill>
              </w:rPr>
            </w:pPr>
          </w:p>
          <w:p w14:paraId="1626A660">
            <w:pPr>
              <w:pStyle w:val="2"/>
              <w:bidi w:val="0"/>
              <w:ind w:left="0" w:leftChars="0" w:firstLine="0" w:firstLineChars="0"/>
              <w:jc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土地</w:t>
            </w:r>
          </w:p>
          <w:p w14:paraId="6BA374DF">
            <w:pPr>
              <w:pStyle w:val="2"/>
              <w:bidi w:val="0"/>
              <w:ind w:left="0" w:leftChars="0" w:firstLine="0" w:firstLineChars="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类型</w:t>
            </w:r>
          </w:p>
        </w:tc>
        <w:tc>
          <w:tcPr>
            <w:tcW w:w="1005" w:type="dxa"/>
            <w:vMerge w:val="restart"/>
            <w:tcBorders>
              <w:bottom w:val="nil"/>
            </w:tcBorders>
            <w:vAlign w:val="top"/>
          </w:tcPr>
          <w:p w14:paraId="1793389F">
            <w:pPr>
              <w:pStyle w:val="9"/>
              <w:keepNext w:val="0"/>
              <w:keepLines w:val="0"/>
              <w:pageBreakBefore w:val="0"/>
              <w:widowControl w:val="0"/>
              <w:kinsoku/>
              <w:wordWrap w:val="0"/>
              <w:overflowPunct/>
              <w:topLinePunct w:val="0"/>
              <w:autoSpaceDE w:val="0"/>
              <w:autoSpaceDN w:val="0"/>
              <w:bidi w:val="0"/>
              <w:adjustRightInd/>
              <w:snapToGrid/>
              <w:spacing w:line="377" w:lineRule="auto"/>
              <w:textAlignment w:val="auto"/>
              <w:rPr>
                <w:color w:val="000000" w:themeColor="text1"/>
                <w14:textFill>
                  <w14:solidFill>
                    <w14:schemeClr w14:val="tx1"/>
                  </w14:solidFill>
                </w14:textFill>
              </w:rPr>
            </w:pPr>
          </w:p>
          <w:p w14:paraId="6B43A0D1">
            <w:pPr>
              <w:pStyle w:val="2"/>
              <w:bidi w:val="0"/>
              <w:ind w:left="0" w:leftChars="0" w:firstLine="0" w:firstLineChars="0"/>
              <w:jc w:val="center"/>
              <w:rPr>
                <w:rFonts w:ascii="楷体" w:hAnsi="楷体" w:eastAsia="楷体" w:cs="楷体"/>
                <w:color w:val="000000" w:themeColor="text1"/>
                <w:spacing w:val="3"/>
                <w:sz w:val="21"/>
                <w:szCs w:val="21"/>
                <w14:textFill>
                  <w14:solidFill>
                    <w14:schemeClr w14:val="tx1"/>
                  </w14:solidFill>
                </w14:textFill>
              </w:rPr>
            </w:pPr>
            <w:r>
              <w:rPr>
                <w:rFonts w:ascii="楷体" w:hAnsi="楷体" w:eastAsia="楷体" w:cs="楷体"/>
                <w:color w:val="000000" w:themeColor="text1"/>
                <w:spacing w:val="3"/>
                <w:sz w:val="21"/>
                <w:szCs w:val="21"/>
                <w14:textFill>
                  <w14:solidFill>
                    <w14:schemeClr w14:val="tx1"/>
                  </w14:solidFill>
                </w14:textFill>
              </w:rPr>
              <w:t>承包合</w:t>
            </w:r>
          </w:p>
          <w:p w14:paraId="5AF1083F">
            <w:pPr>
              <w:pStyle w:val="2"/>
              <w:bidi w:val="0"/>
              <w:ind w:left="0" w:leftChars="0" w:firstLine="0" w:firstLineChars="0"/>
              <w:jc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6"/>
                <w:sz w:val="21"/>
                <w:szCs w:val="21"/>
                <w14:textFill>
                  <w14:solidFill>
                    <w14:schemeClr w14:val="tx1"/>
                  </w14:solidFill>
                </w14:textFill>
              </w:rPr>
              <w:t>同代码</w:t>
            </w:r>
          </w:p>
        </w:tc>
        <w:tc>
          <w:tcPr>
            <w:tcW w:w="619" w:type="dxa"/>
            <w:vMerge w:val="restart"/>
            <w:tcBorders>
              <w:bottom w:val="nil"/>
            </w:tcBorders>
            <w:textDirection w:val="tbRlV"/>
            <w:vAlign w:val="top"/>
          </w:tcPr>
          <w:p w14:paraId="19326E84">
            <w:pPr>
              <w:pStyle w:val="2"/>
              <w:bidi w:val="0"/>
              <w:spacing w:line="240" w:lineRule="auto"/>
              <w:ind w:left="0" w:leftChars="0"/>
              <w:jc w:val="both"/>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备 注</w:t>
            </w:r>
          </w:p>
        </w:tc>
      </w:tr>
      <w:tr w14:paraId="6726B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15" w:type="dxa"/>
            <w:vMerge w:val="continue"/>
            <w:tcBorders>
              <w:top w:val="nil"/>
            </w:tcBorders>
            <w:textDirection w:val="tbRlV"/>
            <w:vAlign w:val="top"/>
          </w:tcPr>
          <w:p w14:paraId="029A34C3">
            <w:pPr>
              <w:pStyle w:val="9"/>
              <w:rPr>
                <w:color w:val="000000" w:themeColor="text1"/>
                <w14:textFill>
                  <w14:solidFill>
                    <w14:schemeClr w14:val="tx1"/>
                  </w14:solidFill>
                </w14:textFill>
              </w:rPr>
            </w:pPr>
          </w:p>
        </w:tc>
        <w:tc>
          <w:tcPr>
            <w:tcW w:w="885" w:type="dxa"/>
            <w:vMerge w:val="continue"/>
            <w:tcBorders>
              <w:top w:val="nil"/>
            </w:tcBorders>
            <w:vAlign w:val="top"/>
          </w:tcPr>
          <w:p w14:paraId="59C9AA43">
            <w:pPr>
              <w:pStyle w:val="9"/>
              <w:rPr>
                <w:color w:val="000000" w:themeColor="text1"/>
                <w14:textFill>
                  <w14:solidFill>
                    <w14:schemeClr w14:val="tx1"/>
                  </w14:solidFill>
                </w14:textFill>
              </w:rPr>
            </w:pPr>
          </w:p>
        </w:tc>
        <w:tc>
          <w:tcPr>
            <w:tcW w:w="979" w:type="dxa"/>
            <w:vMerge w:val="continue"/>
            <w:tcBorders>
              <w:top w:val="nil"/>
            </w:tcBorders>
            <w:vAlign w:val="top"/>
          </w:tcPr>
          <w:p w14:paraId="7C3C6F38">
            <w:pPr>
              <w:pStyle w:val="9"/>
              <w:rPr>
                <w:color w:val="000000" w:themeColor="text1"/>
                <w14:textFill>
                  <w14:solidFill>
                    <w14:schemeClr w14:val="tx1"/>
                  </w14:solidFill>
                </w14:textFill>
              </w:rPr>
            </w:pPr>
          </w:p>
        </w:tc>
        <w:tc>
          <w:tcPr>
            <w:tcW w:w="1084" w:type="dxa"/>
            <w:vMerge w:val="continue"/>
            <w:tcBorders>
              <w:top w:val="nil"/>
            </w:tcBorders>
            <w:vAlign w:val="top"/>
          </w:tcPr>
          <w:p w14:paraId="5BB57431">
            <w:pPr>
              <w:pStyle w:val="9"/>
              <w:rPr>
                <w:color w:val="000000" w:themeColor="text1"/>
                <w14:textFill>
                  <w14:solidFill>
                    <w14:schemeClr w14:val="tx1"/>
                  </w14:solidFill>
                </w14:textFill>
              </w:rPr>
            </w:pPr>
          </w:p>
        </w:tc>
        <w:tc>
          <w:tcPr>
            <w:tcW w:w="693" w:type="dxa"/>
            <w:vAlign w:val="top"/>
          </w:tcPr>
          <w:p w14:paraId="15680EDB">
            <w:pPr>
              <w:spacing w:before="262" w:line="211" w:lineRule="auto"/>
              <w:ind w:left="272"/>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东</w:t>
            </w:r>
          </w:p>
        </w:tc>
        <w:tc>
          <w:tcPr>
            <w:tcW w:w="769" w:type="dxa"/>
            <w:vAlign w:val="top"/>
          </w:tcPr>
          <w:p w14:paraId="4B39A5BF">
            <w:pPr>
              <w:spacing w:before="256" w:line="206" w:lineRule="auto"/>
              <w:ind w:left="305"/>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南</w:t>
            </w:r>
          </w:p>
        </w:tc>
        <w:tc>
          <w:tcPr>
            <w:tcW w:w="897" w:type="dxa"/>
            <w:vAlign w:val="top"/>
          </w:tcPr>
          <w:p w14:paraId="48798A70">
            <w:pPr>
              <w:spacing w:before="283" w:line="195" w:lineRule="auto"/>
              <w:ind w:left="363"/>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西</w:t>
            </w:r>
          </w:p>
        </w:tc>
        <w:tc>
          <w:tcPr>
            <w:tcW w:w="753" w:type="dxa"/>
            <w:vAlign w:val="top"/>
          </w:tcPr>
          <w:p w14:paraId="1AD99FC4">
            <w:pPr>
              <w:spacing w:before="272" w:line="203" w:lineRule="auto"/>
              <w:ind w:left="291"/>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北</w:t>
            </w:r>
          </w:p>
        </w:tc>
        <w:tc>
          <w:tcPr>
            <w:tcW w:w="1039" w:type="dxa"/>
            <w:vMerge w:val="continue"/>
            <w:tcBorders>
              <w:top w:val="nil"/>
            </w:tcBorders>
            <w:vAlign w:val="top"/>
          </w:tcPr>
          <w:p w14:paraId="50B5708B">
            <w:pPr>
              <w:pStyle w:val="9"/>
              <w:rPr>
                <w:color w:val="000000" w:themeColor="text1"/>
                <w14:textFill>
                  <w14:solidFill>
                    <w14:schemeClr w14:val="tx1"/>
                  </w14:solidFill>
                </w14:textFill>
              </w:rPr>
            </w:pPr>
          </w:p>
        </w:tc>
        <w:tc>
          <w:tcPr>
            <w:tcW w:w="1034" w:type="dxa"/>
            <w:vMerge w:val="continue"/>
            <w:tcBorders>
              <w:top w:val="nil"/>
            </w:tcBorders>
            <w:vAlign w:val="top"/>
          </w:tcPr>
          <w:p w14:paraId="738E5054">
            <w:pPr>
              <w:pStyle w:val="9"/>
              <w:rPr>
                <w:color w:val="000000" w:themeColor="text1"/>
                <w14:textFill>
                  <w14:solidFill>
                    <w14:schemeClr w14:val="tx1"/>
                  </w14:solidFill>
                </w14:textFill>
              </w:rPr>
            </w:pPr>
          </w:p>
        </w:tc>
        <w:tc>
          <w:tcPr>
            <w:tcW w:w="1019" w:type="dxa"/>
            <w:vMerge w:val="continue"/>
            <w:tcBorders>
              <w:top w:val="nil"/>
            </w:tcBorders>
            <w:vAlign w:val="top"/>
          </w:tcPr>
          <w:p w14:paraId="4558FA1B">
            <w:pPr>
              <w:pStyle w:val="9"/>
              <w:rPr>
                <w:color w:val="000000" w:themeColor="text1"/>
                <w14:textFill>
                  <w14:solidFill>
                    <w14:schemeClr w14:val="tx1"/>
                  </w14:solidFill>
                </w14:textFill>
              </w:rPr>
            </w:pPr>
          </w:p>
        </w:tc>
        <w:tc>
          <w:tcPr>
            <w:tcW w:w="1005" w:type="dxa"/>
            <w:vMerge w:val="continue"/>
            <w:tcBorders>
              <w:top w:val="nil"/>
            </w:tcBorders>
            <w:vAlign w:val="top"/>
          </w:tcPr>
          <w:p w14:paraId="11B94296">
            <w:pPr>
              <w:pStyle w:val="9"/>
              <w:rPr>
                <w:color w:val="000000" w:themeColor="text1"/>
                <w14:textFill>
                  <w14:solidFill>
                    <w14:schemeClr w14:val="tx1"/>
                  </w14:solidFill>
                </w14:textFill>
              </w:rPr>
            </w:pPr>
          </w:p>
        </w:tc>
        <w:tc>
          <w:tcPr>
            <w:tcW w:w="619" w:type="dxa"/>
            <w:vMerge w:val="continue"/>
            <w:tcBorders>
              <w:top w:val="nil"/>
            </w:tcBorders>
            <w:textDirection w:val="tbRlV"/>
            <w:vAlign w:val="top"/>
          </w:tcPr>
          <w:p w14:paraId="41F420A7">
            <w:pPr>
              <w:pStyle w:val="9"/>
              <w:rPr>
                <w:color w:val="000000" w:themeColor="text1"/>
                <w14:textFill>
                  <w14:solidFill>
                    <w14:schemeClr w14:val="tx1"/>
                  </w14:solidFill>
                </w14:textFill>
              </w:rPr>
            </w:pPr>
          </w:p>
        </w:tc>
      </w:tr>
      <w:tr w14:paraId="0A5E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3E9F388F">
            <w:pPr>
              <w:spacing w:before="294" w:line="183" w:lineRule="auto"/>
              <w:ind w:left="219"/>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1</w:t>
            </w:r>
          </w:p>
        </w:tc>
        <w:tc>
          <w:tcPr>
            <w:tcW w:w="885" w:type="dxa"/>
            <w:vAlign w:val="top"/>
          </w:tcPr>
          <w:p w14:paraId="7C37499F">
            <w:pPr>
              <w:pStyle w:val="9"/>
              <w:rPr>
                <w:color w:val="000000" w:themeColor="text1"/>
                <w14:textFill>
                  <w14:solidFill>
                    <w14:schemeClr w14:val="tx1"/>
                  </w14:solidFill>
                </w14:textFill>
              </w:rPr>
            </w:pPr>
          </w:p>
          <w:p w14:paraId="72BE379C">
            <w:pPr>
              <w:bidi w:val="0"/>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抱利村</w:t>
            </w:r>
          </w:p>
        </w:tc>
        <w:tc>
          <w:tcPr>
            <w:tcW w:w="979" w:type="dxa"/>
            <w:vAlign w:val="top"/>
          </w:tcPr>
          <w:p w14:paraId="616E7C32">
            <w:pPr>
              <w:pStyle w:val="9"/>
              <w:rPr>
                <w:color w:val="000000" w:themeColor="text1"/>
                <w14:textFill>
                  <w14:solidFill>
                    <w14:schemeClr w14:val="tx1"/>
                  </w14:solidFill>
                </w14:textFill>
              </w:rPr>
            </w:pPr>
          </w:p>
          <w:p w14:paraId="5D176B12">
            <w:pPr>
              <w:bidi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学校园</w:t>
            </w:r>
          </w:p>
        </w:tc>
        <w:tc>
          <w:tcPr>
            <w:tcW w:w="1084" w:type="dxa"/>
            <w:vAlign w:val="top"/>
          </w:tcPr>
          <w:p w14:paraId="3DFCAE83">
            <w:pPr>
              <w:pStyle w:val="9"/>
              <w:rPr>
                <w:color w:val="000000" w:themeColor="text1"/>
                <w14:textFill>
                  <w14:solidFill>
                    <w14:schemeClr w14:val="tx1"/>
                  </w14:solidFill>
                </w14:textFill>
              </w:rPr>
            </w:pPr>
          </w:p>
        </w:tc>
        <w:tc>
          <w:tcPr>
            <w:tcW w:w="693" w:type="dxa"/>
            <w:vAlign w:val="top"/>
          </w:tcPr>
          <w:p w14:paraId="45F221DA">
            <w:pPr>
              <w:pStyle w:val="9"/>
              <w:rPr>
                <w:color w:val="000000" w:themeColor="text1"/>
                <w14:textFill>
                  <w14:solidFill>
                    <w14:schemeClr w14:val="tx1"/>
                  </w14:solidFill>
                </w14:textFill>
              </w:rPr>
            </w:pPr>
          </w:p>
          <w:p w14:paraId="3A194B73">
            <w:pPr>
              <w:bidi w:val="0"/>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村六米道路</w:t>
            </w:r>
          </w:p>
        </w:tc>
        <w:tc>
          <w:tcPr>
            <w:tcW w:w="769" w:type="dxa"/>
            <w:vAlign w:val="top"/>
          </w:tcPr>
          <w:p w14:paraId="5AEBFE30">
            <w:pPr>
              <w:pStyle w:val="9"/>
              <w:rPr>
                <w:color w:val="000000" w:themeColor="text1"/>
                <w14:textFill>
                  <w14:solidFill>
                    <w14:schemeClr w14:val="tx1"/>
                  </w14:solidFill>
                </w14:textFill>
              </w:rPr>
            </w:pPr>
          </w:p>
          <w:p w14:paraId="016F66F9">
            <w:pPr>
              <w:tabs>
                <w:tab w:val="left" w:pos="336"/>
              </w:tabs>
              <w:bidi w:val="0"/>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李永科、陈其兰地</w:t>
            </w:r>
          </w:p>
        </w:tc>
        <w:tc>
          <w:tcPr>
            <w:tcW w:w="897" w:type="dxa"/>
            <w:vAlign w:val="top"/>
          </w:tcPr>
          <w:p w14:paraId="7036B66E">
            <w:pPr>
              <w:pStyle w:val="9"/>
              <w:rPr>
                <w:color w:val="000000" w:themeColor="text1"/>
                <w14:textFill>
                  <w14:solidFill>
                    <w14:schemeClr w14:val="tx1"/>
                  </w14:solidFill>
                </w14:textFill>
              </w:rPr>
            </w:pPr>
          </w:p>
          <w:p w14:paraId="35884C5A">
            <w:pPr>
              <w:bidi w:val="0"/>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中沙道班、民宅</w:t>
            </w:r>
          </w:p>
        </w:tc>
        <w:tc>
          <w:tcPr>
            <w:tcW w:w="753" w:type="dxa"/>
            <w:vAlign w:val="top"/>
          </w:tcPr>
          <w:p w14:paraId="4581F712">
            <w:pPr>
              <w:pStyle w:val="9"/>
              <w:rPr>
                <w:color w:val="000000" w:themeColor="text1"/>
                <w14:textFill>
                  <w14:solidFill>
                    <w14:schemeClr w14:val="tx1"/>
                  </w14:solidFill>
                </w14:textFill>
              </w:rPr>
            </w:pPr>
          </w:p>
          <w:p w14:paraId="4A64C27F">
            <w:pPr>
              <w:bidi w:val="0"/>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板中公路</w:t>
            </w:r>
          </w:p>
        </w:tc>
        <w:tc>
          <w:tcPr>
            <w:tcW w:w="1039" w:type="dxa"/>
            <w:vAlign w:val="top"/>
          </w:tcPr>
          <w:p w14:paraId="5D4D8084">
            <w:pPr>
              <w:pStyle w:val="9"/>
              <w:rPr>
                <w:color w:val="000000" w:themeColor="text1"/>
                <w14:textFill>
                  <w14:solidFill>
                    <w14:schemeClr w14:val="tx1"/>
                  </w14:solidFill>
                </w14:textFill>
              </w:rPr>
            </w:pPr>
          </w:p>
          <w:p w14:paraId="7D9A0E67">
            <w:pPr>
              <w:bidi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1034" w:type="dxa"/>
            <w:vAlign w:val="top"/>
          </w:tcPr>
          <w:p w14:paraId="7141B70F">
            <w:pPr>
              <w:pStyle w:val="9"/>
              <w:rPr>
                <w:color w:val="000000" w:themeColor="text1"/>
                <w14:textFill>
                  <w14:solidFill>
                    <w14:schemeClr w14:val="tx1"/>
                  </w14:solidFill>
                </w14:textFill>
              </w:rPr>
            </w:pPr>
          </w:p>
        </w:tc>
        <w:tc>
          <w:tcPr>
            <w:tcW w:w="1019" w:type="dxa"/>
            <w:vAlign w:val="top"/>
          </w:tcPr>
          <w:p w14:paraId="4C58C1AB">
            <w:pPr>
              <w:pStyle w:val="9"/>
              <w:rPr>
                <w:color w:val="000000" w:themeColor="text1"/>
                <w14:textFill>
                  <w14:solidFill>
                    <w14:schemeClr w14:val="tx1"/>
                  </w14:solidFill>
                </w14:textFill>
              </w:rPr>
            </w:pPr>
          </w:p>
        </w:tc>
        <w:tc>
          <w:tcPr>
            <w:tcW w:w="1005" w:type="dxa"/>
            <w:vAlign w:val="top"/>
          </w:tcPr>
          <w:p w14:paraId="6D4C8265">
            <w:pPr>
              <w:pStyle w:val="9"/>
              <w:rPr>
                <w:color w:val="000000" w:themeColor="text1"/>
                <w14:textFill>
                  <w14:solidFill>
                    <w14:schemeClr w14:val="tx1"/>
                  </w14:solidFill>
                </w14:textFill>
              </w:rPr>
            </w:pPr>
          </w:p>
        </w:tc>
        <w:tc>
          <w:tcPr>
            <w:tcW w:w="619" w:type="dxa"/>
            <w:vAlign w:val="top"/>
          </w:tcPr>
          <w:p w14:paraId="523079F1">
            <w:pPr>
              <w:pStyle w:val="9"/>
              <w:rPr>
                <w:color w:val="000000" w:themeColor="text1"/>
                <w14:textFill>
                  <w14:solidFill>
                    <w14:schemeClr w14:val="tx1"/>
                  </w14:solidFill>
                </w14:textFill>
              </w:rPr>
            </w:pPr>
          </w:p>
        </w:tc>
      </w:tr>
      <w:tr w14:paraId="5350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2A97A846">
            <w:pPr>
              <w:spacing w:before="293" w:line="183" w:lineRule="auto"/>
              <w:ind w:left="207"/>
              <w:rPr>
                <w:rFonts w:ascii="楷体" w:hAnsi="楷体" w:eastAsia="楷体" w:cs="楷体"/>
                <w:sz w:val="21"/>
                <w:szCs w:val="21"/>
              </w:rPr>
            </w:pPr>
          </w:p>
        </w:tc>
        <w:tc>
          <w:tcPr>
            <w:tcW w:w="885" w:type="dxa"/>
            <w:vAlign w:val="top"/>
          </w:tcPr>
          <w:p w14:paraId="508B6E7C">
            <w:pPr>
              <w:pStyle w:val="9"/>
            </w:pPr>
          </w:p>
        </w:tc>
        <w:tc>
          <w:tcPr>
            <w:tcW w:w="979" w:type="dxa"/>
            <w:vAlign w:val="top"/>
          </w:tcPr>
          <w:p w14:paraId="6354DF97">
            <w:pPr>
              <w:pStyle w:val="9"/>
            </w:pPr>
          </w:p>
        </w:tc>
        <w:tc>
          <w:tcPr>
            <w:tcW w:w="1084" w:type="dxa"/>
            <w:vAlign w:val="top"/>
          </w:tcPr>
          <w:p w14:paraId="466D7582">
            <w:pPr>
              <w:pStyle w:val="9"/>
            </w:pPr>
          </w:p>
        </w:tc>
        <w:tc>
          <w:tcPr>
            <w:tcW w:w="693" w:type="dxa"/>
            <w:vAlign w:val="top"/>
          </w:tcPr>
          <w:p w14:paraId="30644AA2">
            <w:pPr>
              <w:pStyle w:val="9"/>
            </w:pPr>
          </w:p>
        </w:tc>
        <w:tc>
          <w:tcPr>
            <w:tcW w:w="769" w:type="dxa"/>
            <w:vAlign w:val="top"/>
          </w:tcPr>
          <w:p w14:paraId="4DDAEBF7">
            <w:pPr>
              <w:pStyle w:val="9"/>
            </w:pPr>
          </w:p>
        </w:tc>
        <w:tc>
          <w:tcPr>
            <w:tcW w:w="897" w:type="dxa"/>
            <w:vAlign w:val="top"/>
          </w:tcPr>
          <w:p w14:paraId="0DCE83A8">
            <w:pPr>
              <w:pStyle w:val="9"/>
            </w:pPr>
          </w:p>
        </w:tc>
        <w:tc>
          <w:tcPr>
            <w:tcW w:w="753" w:type="dxa"/>
            <w:vAlign w:val="top"/>
          </w:tcPr>
          <w:p w14:paraId="5DB3F90B">
            <w:pPr>
              <w:pStyle w:val="9"/>
            </w:pPr>
          </w:p>
        </w:tc>
        <w:tc>
          <w:tcPr>
            <w:tcW w:w="1039" w:type="dxa"/>
            <w:vAlign w:val="top"/>
          </w:tcPr>
          <w:p w14:paraId="1488DF15">
            <w:pPr>
              <w:pStyle w:val="9"/>
            </w:pPr>
          </w:p>
        </w:tc>
        <w:tc>
          <w:tcPr>
            <w:tcW w:w="1034" w:type="dxa"/>
            <w:vAlign w:val="top"/>
          </w:tcPr>
          <w:p w14:paraId="723956BC">
            <w:pPr>
              <w:pStyle w:val="9"/>
            </w:pPr>
          </w:p>
        </w:tc>
        <w:tc>
          <w:tcPr>
            <w:tcW w:w="1019" w:type="dxa"/>
            <w:vAlign w:val="top"/>
          </w:tcPr>
          <w:p w14:paraId="6ADE4176">
            <w:pPr>
              <w:pStyle w:val="9"/>
            </w:pPr>
          </w:p>
        </w:tc>
        <w:tc>
          <w:tcPr>
            <w:tcW w:w="1005" w:type="dxa"/>
            <w:vAlign w:val="top"/>
          </w:tcPr>
          <w:p w14:paraId="3F63B741">
            <w:pPr>
              <w:pStyle w:val="9"/>
            </w:pPr>
          </w:p>
        </w:tc>
        <w:tc>
          <w:tcPr>
            <w:tcW w:w="619" w:type="dxa"/>
            <w:vAlign w:val="top"/>
          </w:tcPr>
          <w:p w14:paraId="7014C049">
            <w:pPr>
              <w:pStyle w:val="9"/>
            </w:pPr>
          </w:p>
        </w:tc>
      </w:tr>
      <w:tr w14:paraId="51CF5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64C11731">
            <w:pPr>
              <w:spacing w:before="294" w:line="183" w:lineRule="auto"/>
              <w:ind w:left="221"/>
              <w:rPr>
                <w:rFonts w:ascii="楷体" w:hAnsi="楷体" w:eastAsia="楷体" w:cs="楷体"/>
                <w:sz w:val="21"/>
                <w:szCs w:val="21"/>
              </w:rPr>
            </w:pPr>
          </w:p>
        </w:tc>
        <w:tc>
          <w:tcPr>
            <w:tcW w:w="885" w:type="dxa"/>
            <w:vAlign w:val="top"/>
          </w:tcPr>
          <w:p w14:paraId="0E2A2A7A">
            <w:pPr>
              <w:pStyle w:val="9"/>
            </w:pPr>
          </w:p>
        </w:tc>
        <w:tc>
          <w:tcPr>
            <w:tcW w:w="979" w:type="dxa"/>
            <w:vAlign w:val="top"/>
          </w:tcPr>
          <w:p w14:paraId="7EE1DECB">
            <w:pPr>
              <w:pStyle w:val="9"/>
            </w:pPr>
          </w:p>
        </w:tc>
        <w:tc>
          <w:tcPr>
            <w:tcW w:w="1084" w:type="dxa"/>
            <w:vAlign w:val="top"/>
          </w:tcPr>
          <w:p w14:paraId="580672A5">
            <w:pPr>
              <w:pStyle w:val="9"/>
            </w:pPr>
          </w:p>
        </w:tc>
        <w:tc>
          <w:tcPr>
            <w:tcW w:w="693" w:type="dxa"/>
            <w:vAlign w:val="top"/>
          </w:tcPr>
          <w:p w14:paraId="105C4581">
            <w:pPr>
              <w:pStyle w:val="9"/>
            </w:pPr>
          </w:p>
        </w:tc>
        <w:tc>
          <w:tcPr>
            <w:tcW w:w="769" w:type="dxa"/>
            <w:vAlign w:val="top"/>
          </w:tcPr>
          <w:p w14:paraId="45877D30">
            <w:pPr>
              <w:pStyle w:val="9"/>
            </w:pPr>
          </w:p>
        </w:tc>
        <w:tc>
          <w:tcPr>
            <w:tcW w:w="897" w:type="dxa"/>
            <w:vAlign w:val="top"/>
          </w:tcPr>
          <w:p w14:paraId="653F2119">
            <w:pPr>
              <w:pStyle w:val="9"/>
            </w:pPr>
          </w:p>
        </w:tc>
        <w:tc>
          <w:tcPr>
            <w:tcW w:w="753" w:type="dxa"/>
            <w:vAlign w:val="top"/>
          </w:tcPr>
          <w:p w14:paraId="0B3782B1">
            <w:pPr>
              <w:pStyle w:val="9"/>
            </w:pPr>
          </w:p>
        </w:tc>
        <w:tc>
          <w:tcPr>
            <w:tcW w:w="1039" w:type="dxa"/>
            <w:vAlign w:val="top"/>
          </w:tcPr>
          <w:p w14:paraId="0FA1B32E">
            <w:pPr>
              <w:pStyle w:val="9"/>
            </w:pPr>
          </w:p>
        </w:tc>
        <w:tc>
          <w:tcPr>
            <w:tcW w:w="1034" w:type="dxa"/>
            <w:vAlign w:val="top"/>
          </w:tcPr>
          <w:p w14:paraId="3B56016C">
            <w:pPr>
              <w:pStyle w:val="9"/>
            </w:pPr>
          </w:p>
        </w:tc>
        <w:tc>
          <w:tcPr>
            <w:tcW w:w="1019" w:type="dxa"/>
            <w:vAlign w:val="top"/>
          </w:tcPr>
          <w:p w14:paraId="77B920C9">
            <w:pPr>
              <w:pStyle w:val="9"/>
            </w:pPr>
          </w:p>
        </w:tc>
        <w:tc>
          <w:tcPr>
            <w:tcW w:w="1005" w:type="dxa"/>
            <w:vAlign w:val="top"/>
          </w:tcPr>
          <w:p w14:paraId="15938E1A">
            <w:pPr>
              <w:pStyle w:val="9"/>
            </w:pPr>
          </w:p>
        </w:tc>
        <w:tc>
          <w:tcPr>
            <w:tcW w:w="619" w:type="dxa"/>
            <w:vAlign w:val="top"/>
          </w:tcPr>
          <w:p w14:paraId="237F79E1">
            <w:pPr>
              <w:pStyle w:val="9"/>
            </w:pPr>
          </w:p>
        </w:tc>
      </w:tr>
      <w:tr w14:paraId="7DA4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15" w:type="dxa"/>
            <w:vAlign w:val="top"/>
          </w:tcPr>
          <w:p w14:paraId="4C5FE82D">
            <w:pPr>
              <w:pStyle w:val="9"/>
            </w:pPr>
          </w:p>
        </w:tc>
        <w:tc>
          <w:tcPr>
            <w:tcW w:w="885" w:type="dxa"/>
            <w:vAlign w:val="top"/>
          </w:tcPr>
          <w:p w14:paraId="4BD2D41F">
            <w:pPr>
              <w:pStyle w:val="9"/>
            </w:pPr>
          </w:p>
        </w:tc>
        <w:tc>
          <w:tcPr>
            <w:tcW w:w="979" w:type="dxa"/>
            <w:vAlign w:val="top"/>
          </w:tcPr>
          <w:p w14:paraId="039FD32B">
            <w:pPr>
              <w:pStyle w:val="9"/>
            </w:pPr>
          </w:p>
        </w:tc>
        <w:tc>
          <w:tcPr>
            <w:tcW w:w="1084" w:type="dxa"/>
            <w:vAlign w:val="top"/>
          </w:tcPr>
          <w:p w14:paraId="364DC6A8">
            <w:pPr>
              <w:pStyle w:val="9"/>
            </w:pPr>
          </w:p>
        </w:tc>
        <w:tc>
          <w:tcPr>
            <w:tcW w:w="693" w:type="dxa"/>
            <w:vAlign w:val="top"/>
          </w:tcPr>
          <w:p w14:paraId="4A78FF45">
            <w:pPr>
              <w:pStyle w:val="9"/>
            </w:pPr>
          </w:p>
        </w:tc>
        <w:tc>
          <w:tcPr>
            <w:tcW w:w="769" w:type="dxa"/>
            <w:vAlign w:val="top"/>
          </w:tcPr>
          <w:p w14:paraId="036F4218">
            <w:pPr>
              <w:pStyle w:val="9"/>
            </w:pPr>
          </w:p>
        </w:tc>
        <w:tc>
          <w:tcPr>
            <w:tcW w:w="897" w:type="dxa"/>
            <w:vAlign w:val="top"/>
          </w:tcPr>
          <w:p w14:paraId="21294527">
            <w:pPr>
              <w:pStyle w:val="9"/>
            </w:pPr>
          </w:p>
        </w:tc>
        <w:tc>
          <w:tcPr>
            <w:tcW w:w="753" w:type="dxa"/>
            <w:vAlign w:val="top"/>
          </w:tcPr>
          <w:p w14:paraId="093DCAA7">
            <w:pPr>
              <w:pStyle w:val="9"/>
            </w:pPr>
          </w:p>
        </w:tc>
        <w:tc>
          <w:tcPr>
            <w:tcW w:w="1039" w:type="dxa"/>
            <w:vAlign w:val="top"/>
          </w:tcPr>
          <w:p w14:paraId="56A2D3B5">
            <w:pPr>
              <w:pStyle w:val="9"/>
            </w:pPr>
          </w:p>
        </w:tc>
        <w:tc>
          <w:tcPr>
            <w:tcW w:w="1034" w:type="dxa"/>
            <w:vAlign w:val="top"/>
          </w:tcPr>
          <w:p w14:paraId="1CD28A7A">
            <w:pPr>
              <w:pStyle w:val="9"/>
            </w:pPr>
          </w:p>
        </w:tc>
        <w:tc>
          <w:tcPr>
            <w:tcW w:w="1019" w:type="dxa"/>
            <w:vAlign w:val="top"/>
          </w:tcPr>
          <w:p w14:paraId="4D5C9EEB">
            <w:pPr>
              <w:pStyle w:val="9"/>
            </w:pPr>
          </w:p>
        </w:tc>
        <w:tc>
          <w:tcPr>
            <w:tcW w:w="1005" w:type="dxa"/>
            <w:vAlign w:val="top"/>
          </w:tcPr>
          <w:p w14:paraId="2CE6FF54">
            <w:pPr>
              <w:pStyle w:val="9"/>
            </w:pPr>
          </w:p>
        </w:tc>
        <w:tc>
          <w:tcPr>
            <w:tcW w:w="619" w:type="dxa"/>
            <w:vAlign w:val="top"/>
          </w:tcPr>
          <w:p w14:paraId="4BFD0043">
            <w:pPr>
              <w:pStyle w:val="9"/>
            </w:pPr>
          </w:p>
        </w:tc>
      </w:tr>
    </w:tbl>
    <w:p w14:paraId="337D2E8C">
      <w:pPr>
        <w:spacing w:before="248" w:line="229" w:lineRule="auto"/>
        <w:ind w:firstLine="568" w:firstLineChars="200"/>
        <w:rPr>
          <w:rFonts w:ascii="黑体" w:hAnsi="黑体" w:eastAsia="黑体" w:cs="黑体"/>
          <w:sz w:val="27"/>
          <w:szCs w:val="27"/>
        </w:rPr>
      </w:pPr>
      <w:r>
        <w:rPr>
          <w:rFonts w:ascii="黑体" w:hAnsi="黑体" w:eastAsia="黑体" w:cs="黑体"/>
          <w:spacing w:val="7"/>
          <w:sz w:val="27"/>
          <w:szCs w:val="27"/>
        </w:rPr>
        <w:t>三、出租土地用途</w:t>
      </w:r>
    </w:p>
    <w:p w14:paraId="486B27B9">
      <w:pPr>
        <w:spacing w:before="187" w:line="223" w:lineRule="auto"/>
        <w:ind w:firstLine="548" w:firstLineChars="200"/>
        <w:rPr>
          <w:rFonts w:ascii="仿宋" w:hAnsi="仿宋" w:eastAsia="仿宋" w:cs="仿宋"/>
          <w:color w:val="000000" w:themeColor="text1"/>
          <w:sz w:val="27"/>
          <w:szCs w:val="27"/>
          <w14:textFill>
            <w14:solidFill>
              <w14:schemeClr w14:val="tx1"/>
            </w14:solidFill>
          </w14:textFill>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hint="eastAsia" w:ascii="仿宋" w:hAnsi="仿宋" w:eastAsia="仿宋" w:cs="仿宋"/>
          <w:color w:val="000000" w:themeColor="text1"/>
          <w:spacing w:val="2"/>
          <w:sz w:val="27"/>
          <w:szCs w:val="27"/>
          <w:u w:val="single" w:color="auto"/>
          <w:lang w:eastAsia="zh-CN"/>
          <w14:textFill>
            <w14:solidFill>
              <w14:schemeClr w14:val="tx1"/>
            </w14:solidFill>
          </w14:textFill>
        </w:rPr>
        <w:t>发展农产品分拣、交易、冷链、仓储等配套项目</w:t>
      </w:r>
      <w:r>
        <w:rPr>
          <w:rFonts w:ascii="仿宋" w:hAnsi="仿宋" w:eastAsia="仿宋" w:cs="仿宋"/>
          <w:color w:val="000000" w:themeColor="text1"/>
          <w:spacing w:val="2"/>
          <w:sz w:val="27"/>
          <w:szCs w:val="27"/>
          <w:u w:val="single" w:color="auto"/>
          <w14:textFill>
            <w14:solidFill>
              <w14:schemeClr w14:val="tx1"/>
            </w14:solidFill>
          </w14:textFill>
        </w:rPr>
        <w:t xml:space="preserve"> </w:t>
      </w:r>
      <w:r>
        <w:rPr>
          <w:rFonts w:ascii="仿宋" w:hAnsi="仿宋" w:eastAsia="仿宋" w:cs="仿宋"/>
          <w:color w:val="000000" w:themeColor="text1"/>
          <w:spacing w:val="2"/>
          <w:sz w:val="27"/>
          <w:szCs w:val="27"/>
          <w14:textFill>
            <w14:solidFill>
              <w14:schemeClr w14:val="tx1"/>
            </w14:solidFill>
          </w14:textFill>
        </w:rPr>
        <w:t>。</w:t>
      </w:r>
    </w:p>
    <w:p w14:paraId="6EFEB569">
      <w:pPr>
        <w:spacing w:before="192" w:line="229" w:lineRule="auto"/>
        <w:ind w:firstLine="560" w:firstLineChars="200"/>
        <w:rPr>
          <w:rFonts w:ascii="黑体" w:hAnsi="黑体" w:eastAsia="黑体" w:cs="黑体"/>
          <w:color w:val="000000" w:themeColor="text1"/>
          <w:sz w:val="27"/>
          <w:szCs w:val="27"/>
          <w14:textFill>
            <w14:solidFill>
              <w14:schemeClr w14:val="tx1"/>
            </w14:solidFill>
          </w14:textFill>
        </w:rPr>
      </w:pPr>
      <w:r>
        <w:rPr>
          <w:rFonts w:ascii="黑体" w:hAnsi="黑体" w:eastAsia="黑体" w:cs="黑体"/>
          <w:color w:val="000000" w:themeColor="text1"/>
          <w:spacing w:val="5"/>
          <w:sz w:val="27"/>
          <w:szCs w:val="27"/>
          <w14:textFill>
            <w14:solidFill>
              <w14:schemeClr w14:val="tx1"/>
            </w14:solidFill>
          </w14:textFill>
        </w:rPr>
        <w:t>四、租赁期限</w:t>
      </w:r>
    </w:p>
    <w:p w14:paraId="24A01091">
      <w:pPr>
        <w:spacing w:before="186" w:line="223" w:lineRule="auto"/>
        <w:ind w:firstLine="508" w:firstLineChars="200"/>
        <w:rPr>
          <w:rFonts w:ascii="仿宋" w:hAnsi="仿宋" w:eastAsia="仿宋" w:cs="仿宋"/>
          <w:sz w:val="27"/>
          <w:szCs w:val="27"/>
        </w:rPr>
      </w:pPr>
      <w:r>
        <w:rPr>
          <w:rFonts w:ascii="仿宋" w:hAnsi="仿宋" w:eastAsia="仿宋" w:cs="仿宋"/>
          <w:color w:val="000000" w:themeColor="text1"/>
          <w:spacing w:val="-8"/>
          <w:sz w:val="27"/>
          <w:szCs w:val="27"/>
          <w14:textFill>
            <w14:solidFill>
              <w14:schemeClr w14:val="tx1"/>
            </w14:solidFill>
          </w14:textFill>
        </w:rPr>
        <w:t>租赁期限自</w:t>
      </w:r>
      <w:r>
        <w:rPr>
          <w:rFonts w:ascii="仿宋" w:hAnsi="仿宋" w:eastAsia="仿宋" w:cs="仿宋"/>
          <w:color w:val="000000" w:themeColor="text1"/>
          <w:spacing w:val="-121"/>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117"/>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年</w:t>
      </w:r>
      <w:r>
        <w:rPr>
          <w:rFonts w:ascii="仿宋" w:hAnsi="仿宋" w:eastAsia="仿宋" w:cs="仿宋"/>
          <w:color w:val="000000" w:themeColor="text1"/>
          <w:spacing w:val="-135"/>
          <w:sz w:val="27"/>
          <w:szCs w:val="27"/>
          <w14:textFill>
            <w14:solidFill>
              <w14:schemeClr w14:val="tx1"/>
            </w14:solidFill>
          </w14:textFill>
        </w:rPr>
        <w:t xml:space="preserve"> </w:t>
      </w:r>
      <w:r>
        <w:rPr>
          <w:rFonts w:ascii="仿宋" w:hAnsi="仿宋" w:eastAsia="仿宋" w:cs="仿宋"/>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5"/>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5"/>
          <w:sz w:val="27"/>
          <w:szCs w:val="27"/>
          <w:u w:val="single" w:color="auto"/>
          <w14:textFill>
            <w14:solidFill>
              <w14:schemeClr w14:val="tx1"/>
            </w14:solidFill>
          </w14:textFill>
        </w:rPr>
        <w:t xml:space="preserve"> </w:t>
      </w:r>
      <w:r>
        <w:rPr>
          <w:rFonts w:ascii="仿宋" w:hAnsi="仿宋" w:eastAsia="仿宋" w:cs="仿宋"/>
          <w:color w:val="000000" w:themeColor="text1"/>
          <w:spacing w:val="-109"/>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月</w:t>
      </w:r>
      <w:r>
        <w:rPr>
          <w:rFonts w:ascii="仿宋" w:hAnsi="仿宋" w:eastAsia="仿宋" w:cs="仿宋"/>
          <w:color w:val="000000" w:themeColor="text1"/>
          <w:spacing w:val="-135"/>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ascii="仿宋" w:hAnsi="仿宋" w:eastAsia="仿宋" w:cs="仿宋"/>
          <w:color w:val="000000" w:themeColor="text1"/>
          <w:spacing w:val="-70"/>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日起至</w:t>
      </w:r>
      <w:r>
        <w:rPr>
          <w:rFonts w:ascii="仿宋" w:hAnsi="仿宋" w:eastAsia="仿宋" w:cs="仿宋"/>
          <w:color w:val="000000" w:themeColor="text1"/>
          <w:spacing w:val="-135"/>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ascii="仿宋" w:hAnsi="仿宋" w:eastAsia="仿宋" w:cs="仿宋"/>
          <w:color w:val="000000" w:themeColor="text1"/>
          <w:spacing w:val="-117"/>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年</w:t>
      </w:r>
      <w:r>
        <w:rPr>
          <w:rFonts w:ascii="仿宋" w:hAnsi="仿宋" w:eastAsia="仿宋" w:cs="仿宋"/>
          <w:color w:val="000000" w:themeColor="text1"/>
          <w:spacing w:val="-134"/>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ascii="仿宋" w:hAnsi="仿宋" w:eastAsia="仿宋" w:cs="仿宋"/>
          <w:color w:val="000000" w:themeColor="text1"/>
          <w:spacing w:val="-108"/>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月</w:t>
      </w:r>
      <w:r>
        <w:rPr>
          <w:rFonts w:ascii="仿宋" w:hAnsi="仿宋" w:eastAsia="仿宋" w:cs="仿宋"/>
          <w:color w:val="000000" w:themeColor="text1"/>
          <w:spacing w:val="-134"/>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6EFEB514">
      <w:pPr>
        <w:spacing w:before="193" w:line="229" w:lineRule="auto"/>
        <w:ind w:firstLine="572" w:firstLineChars="200"/>
        <w:rPr>
          <w:rFonts w:ascii="黑体" w:hAnsi="黑体" w:eastAsia="黑体" w:cs="黑体"/>
          <w:sz w:val="27"/>
          <w:szCs w:val="27"/>
        </w:rPr>
      </w:pPr>
      <w:r>
        <w:rPr>
          <w:rFonts w:ascii="黑体" w:hAnsi="黑体" w:eastAsia="黑体" w:cs="黑体"/>
          <w:spacing w:val="8"/>
          <w:sz w:val="27"/>
          <w:szCs w:val="27"/>
        </w:rPr>
        <w:t>五、出租土地交付时间</w:t>
      </w:r>
    </w:p>
    <w:p w14:paraId="115082AE">
      <w:pPr>
        <w:spacing w:before="186" w:line="223" w:lineRule="auto"/>
        <w:ind w:firstLine="528" w:firstLineChars="200"/>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47BA75E">
      <w:pPr>
        <w:spacing w:before="192" w:line="228" w:lineRule="auto"/>
        <w:ind w:firstLine="568" w:firstLineChars="200"/>
        <w:outlineLvl w:val="1"/>
        <w:rPr>
          <w:rFonts w:ascii="黑体" w:hAnsi="黑体" w:eastAsia="黑体" w:cs="黑体"/>
          <w:sz w:val="27"/>
          <w:szCs w:val="27"/>
        </w:rPr>
      </w:pPr>
      <w:r>
        <w:rPr>
          <w:rFonts w:ascii="黑体" w:hAnsi="黑体" w:eastAsia="黑体" w:cs="黑体"/>
          <w:spacing w:val="7"/>
          <w:sz w:val="27"/>
          <w:szCs w:val="27"/>
        </w:rPr>
        <w:t>六、租金及支付方式</w:t>
      </w:r>
    </w:p>
    <w:p w14:paraId="12D499E1">
      <w:pPr>
        <w:tabs>
          <w:tab w:val="left" w:pos="2467"/>
        </w:tabs>
        <w:spacing w:before="189" w:line="223" w:lineRule="auto"/>
        <w:ind w:firstLine="560" w:firstLineChars="200"/>
        <w:outlineLvl w:val="2"/>
        <w:rPr>
          <w:rFonts w:ascii="仿宋" w:hAnsi="仿宋" w:eastAsia="仿宋" w:cs="仿宋"/>
          <w:sz w:val="27"/>
          <w:szCs w:val="27"/>
        </w:rPr>
      </w:pPr>
      <w:r>
        <w:rPr>
          <w:rFonts w:hint="eastAsia" w:ascii="仿宋" w:hAnsi="仿宋" w:eastAsia="仿宋" w:cs="仿宋"/>
          <w:spacing w:val="5"/>
          <w:sz w:val="27"/>
          <w:szCs w:val="27"/>
          <w:lang w:eastAsia="zh-CN"/>
        </w:rPr>
        <w:t>（一）</w:t>
      </w:r>
      <w:r>
        <w:rPr>
          <w:rFonts w:ascii="仿宋" w:hAnsi="仿宋" w:eastAsia="仿宋" w:cs="仿宋"/>
          <w:spacing w:val="5"/>
          <w:sz w:val="27"/>
          <w:szCs w:val="27"/>
        </w:rPr>
        <w:t>租金标准</w:t>
      </w:r>
    </w:p>
    <w:p w14:paraId="7A9C6907">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乙方应以：</w:t>
      </w:r>
      <w:r>
        <w:rPr>
          <w:rFonts w:hint="eastAsia" w:ascii="仿宋" w:hAnsi="仿宋" w:eastAsia="仿宋" w:cs="仿宋"/>
          <w:spacing w:val="3"/>
          <w:sz w:val="27"/>
          <w:szCs w:val="27"/>
          <w:u w:val="single"/>
          <w:lang w:val="en-US" w:eastAsia="zh-CN"/>
        </w:rPr>
        <w:t xml:space="preserve">                               </w:t>
      </w:r>
      <w:r>
        <w:rPr>
          <w:rFonts w:hint="eastAsia" w:ascii="仿宋" w:hAnsi="仿宋" w:eastAsia="仿宋" w:cs="仿宋"/>
          <w:spacing w:val="3"/>
          <w:sz w:val="27"/>
          <w:szCs w:val="27"/>
          <w:u w:val="none"/>
          <w:lang w:val="en-US" w:eastAsia="zh-CN"/>
        </w:rPr>
        <w:t>，</w:t>
      </w:r>
      <w:r>
        <w:rPr>
          <w:rFonts w:hint="eastAsia" w:ascii="仿宋" w:hAnsi="仿宋" w:eastAsia="仿宋" w:cs="仿宋"/>
          <w:spacing w:val="3"/>
          <w:sz w:val="27"/>
          <w:szCs w:val="27"/>
          <w:lang w:eastAsia="zh-CN"/>
        </w:rPr>
        <w:t>每</w:t>
      </w:r>
      <w:r>
        <w:rPr>
          <w:rFonts w:hint="eastAsia" w:ascii="仿宋" w:hAnsi="仿宋" w:eastAsia="仿宋" w:cs="仿宋"/>
          <w:spacing w:val="3"/>
          <w:sz w:val="27"/>
          <w:szCs w:val="27"/>
          <w:u w:val="none"/>
          <w:lang w:val="en-US" w:eastAsia="zh-CN"/>
        </w:rPr>
        <w:t>五</w:t>
      </w:r>
      <w:r>
        <w:rPr>
          <w:rFonts w:hint="eastAsia" w:ascii="仿宋" w:hAnsi="仿宋" w:eastAsia="仿宋" w:cs="仿宋"/>
          <w:spacing w:val="3"/>
          <w:sz w:val="27"/>
          <w:szCs w:val="27"/>
          <w:lang w:val="en-US" w:eastAsia="zh-CN"/>
        </w:rPr>
        <w:t>年调整一次租金，具体调整方式为：从合同签订之日起第六年开始按每五年递增8%。</w:t>
      </w:r>
    </w:p>
    <w:p w14:paraId="1898D90F">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（二）租金支付</w:t>
      </w:r>
    </w:p>
    <w:p w14:paraId="775742DA">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租金支付方式为一年一付，第一次支付时间为合同签订后15日内完成，往后的支付时间固定为每年六月三十日前。</w:t>
      </w:r>
    </w:p>
    <w:p w14:paraId="3E52D5A9">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（三）其他约定：乙方在合同签订的前十年（即  年  月  日</w:t>
      </w:r>
    </w:p>
    <w:p w14:paraId="05D15605">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  年   月   日）应在每年支付租金时同时向甲方支付分红款玖</w:t>
      </w:r>
    </w:p>
    <w:p w14:paraId="289B7640">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万元，合同签订的后十年（即  年  月  日-  年   月   日）</w:t>
      </w:r>
    </w:p>
    <w:p w14:paraId="0A7F6C0F">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应在每年支付租金时同时向甲方支付分红款壹拾万元。</w:t>
      </w:r>
    </w:p>
    <w:p w14:paraId="320C2F44">
      <w:pPr>
        <w:spacing w:line="222" w:lineRule="auto"/>
        <w:ind w:firstLine="556" w:firstLineChars="200"/>
        <w:rPr>
          <w:rFonts w:ascii="仿宋" w:hAnsi="仿宋" w:eastAsia="仿宋" w:cs="仿宋"/>
          <w:sz w:val="27"/>
          <w:szCs w:val="27"/>
        </w:rPr>
      </w:pPr>
      <w:r>
        <w:rPr>
          <w:rFonts w:ascii="仿宋" w:hAnsi="仿宋" w:eastAsia="仿宋" w:cs="仿宋"/>
          <w:spacing w:val="4"/>
          <w:sz w:val="27"/>
          <w:szCs w:val="27"/>
        </w:rPr>
        <w:t>（</w:t>
      </w:r>
      <w:r>
        <w:rPr>
          <w:rFonts w:hint="eastAsia" w:ascii="仿宋" w:hAnsi="仿宋" w:eastAsia="仿宋" w:cs="仿宋"/>
          <w:spacing w:val="4"/>
          <w:sz w:val="27"/>
          <w:szCs w:val="27"/>
          <w:lang w:eastAsia="zh-CN"/>
        </w:rPr>
        <w:t>四</w:t>
      </w:r>
      <w:r>
        <w:rPr>
          <w:rFonts w:ascii="仿宋" w:hAnsi="仿宋" w:eastAsia="仿宋" w:cs="仿宋"/>
          <w:spacing w:val="4"/>
          <w:sz w:val="27"/>
          <w:szCs w:val="27"/>
        </w:rPr>
        <w:t>）付款方式</w:t>
      </w:r>
    </w:p>
    <w:p w14:paraId="3DFAB424">
      <w:pPr>
        <w:spacing w:before="42" w:line="222" w:lineRule="auto"/>
        <w:ind w:firstLine="556" w:firstLineChars="200"/>
        <w:rPr>
          <w:rFonts w:hint="eastAsia" w:ascii="仿宋" w:hAnsi="仿宋" w:eastAsia="仿宋" w:cs="仿宋"/>
          <w:sz w:val="27"/>
          <w:szCs w:val="27"/>
          <w:lang w:eastAsia="zh-CN"/>
        </w:rPr>
      </w:pPr>
      <w:r>
        <w:rPr>
          <w:rFonts w:hint="eastAsia" w:ascii="仿宋" w:hAnsi="仿宋" w:eastAsia="仿宋" w:cs="仿宋"/>
          <w:spacing w:val="4"/>
          <w:sz w:val="27"/>
          <w:szCs w:val="27"/>
          <w:lang w:eastAsia="zh-CN"/>
        </w:rPr>
        <w:t>付款方式为</w:t>
      </w:r>
      <w:r>
        <w:rPr>
          <w:rFonts w:ascii="仿宋" w:hAnsi="仿宋" w:eastAsia="仿宋" w:cs="仿宋"/>
          <w:spacing w:val="4"/>
          <w:sz w:val="27"/>
          <w:szCs w:val="27"/>
        </w:rPr>
        <w:t>银行</w:t>
      </w:r>
      <w:r>
        <w:rPr>
          <w:rFonts w:hint="eastAsia" w:ascii="仿宋" w:hAnsi="仿宋" w:eastAsia="仿宋" w:cs="仿宋"/>
          <w:spacing w:val="4"/>
          <w:sz w:val="27"/>
          <w:szCs w:val="27"/>
          <w:lang w:eastAsia="zh-CN"/>
        </w:rPr>
        <w:t>转账</w:t>
      </w:r>
      <w:r>
        <w:rPr>
          <w:rFonts w:ascii="仿宋" w:hAnsi="仿宋" w:eastAsia="仿宋" w:cs="仿宋"/>
          <w:spacing w:val="4"/>
          <w:sz w:val="27"/>
          <w:szCs w:val="27"/>
        </w:rPr>
        <w:t>汇款</w:t>
      </w:r>
      <w:r>
        <w:rPr>
          <w:rFonts w:hint="eastAsia" w:ascii="仿宋" w:hAnsi="仿宋" w:eastAsia="仿宋" w:cs="仿宋"/>
          <w:spacing w:val="4"/>
          <w:sz w:val="27"/>
          <w:szCs w:val="27"/>
          <w:lang w:eastAsia="zh-CN"/>
        </w:rPr>
        <w:t>。</w:t>
      </w:r>
    </w:p>
    <w:p w14:paraId="0D44FA4E">
      <w:pPr>
        <w:spacing w:before="194" w:line="348" w:lineRule="auto"/>
        <w:ind w:left="657" w:right="1795" w:firstLine="42"/>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东方市板桥镇抱利村股份经济合作社</w:t>
      </w:r>
      <w:r>
        <w:rPr>
          <w:rFonts w:ascii="仿宋" w:hAnsi="仿宋" w:eastAsia="仿宋" w:cs="仿宋"/>
          <w:sz w:val="27"/>
          <w:szCs w:val="27"/>
          <w:u w:val="single" w:color="auto"/>
        </w:rPr>
        <w:t xml:space="preserve">  </w:t>
      </w:r>
      <w:r>
        <w:rPr>
          <w:rFonts w:ascii="仿宋" w:hAnsi="仿宋" w:eastAsia="仿宋" w:cs="仿宋"/>
          <w:spacing w:val="3"/>
          <w:sz w:val="27"/>
          <w:szCs w:val="27"/>
        </w:rPr>
        <w:t xml:space="preserve">  </w:t>
      </w:r>
    </w:p>
    <w:p w14:paraId="7F65929F">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rPr>
        <w:t>1013498000000177</w:t>
      </w:r>
      <w:r>
        <w:rPr>
          <w:rFonts w:ascii="仿宋" w:hAnsi="仿宋" w:eastAsia="仿宋" w:cs="仿宋"/>
          <w:spacing w:val="1"/>
          <w:sz w:val="27"/>
          <w:szCs w:val="27"/>
          <w:u w:val="single" w:color="auto"/>
        </w:rPr>
        <w:t xml:space="preserve">             </w:t>
      </w:r>
      <w:bookmarkStart w:id="0" w:name="_GoBack"/>
      <w:bookmarkEnd w:id="0"/>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27F4312E">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rPr>
        <w:t>海南农商银行</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0ACC9640">
      <w:pPr>
        <w:spacing w:before="194" w:line="348" w:lineRule="auto"/>
        <w:ind w:right="1795" w:firstLine="756" w:firstLineChars="300"/>
        <w:rPr>
          <w:rFonts w:ascii="仿宋" w:hAnsi="仿宋" w:eastAsia="仿宋" w:cs="仿宋"/>
          <w:sz w:val="27"/>
          <w:szCs w:val="27"/>
        </w:rPr>
      </w:pPr>
      <w:r>
        <w:rPr>
          <w:rFonts w:ascii="仿宋" w:hAnsi="仿宋" w:eastAsia="仿宋" w:cs="仿宋"/>
          <w:spacing w:val="-9"/>
          <w:sz w:val="27"/>
          <w:szCs w:val="27"/>
        </w:rPr>
        <w:t>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30B05DAF">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78448DED">
      <w:pPr>
        <w:spacing w:before="189" w:line="224" w:lineRule="auto"/>
        <w:ind w:left="575"/>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0A242C57">
      <w:pPr>
        <w:spacing w:before="193" w:line="223" w:lineRule="auto"/>
        <w:ind w:left="599"/>
        <w:rPr>
          <w:rFonts w:hint="eastAsia" w:ascii="仿宋" w:hAnsi="仿宋" w:eastAsia="仿宋" w:cs="仿宋"/>
          <w:spacing w:val="2"/>
          <w:sz w:val="27"/>
          <w:szCs w:val="27"/>
          <w:lang w:eastAsia="zh-CN"/>
        </w:rPr>
      </w:pPr>
      <w:r>
        <w:rPr>
          <w:rFonts w:ascii="仿宋" w:hAnsi="仿宋" w:eastAsia="仿宋" w:cs="仿宋"/>
          <w:spacing w:val="2"/>
          <w:sz w:val="27"/>
          <w:szCs w:val="27"/>
        </w:rPr>
        <w:t>1.要求乙方按合同约定支付租金</w:t>
      </w:r>
      <w:r>
        <w:rPr>
          <w:rFonts w:hint="eastAsia" w:ascii="仿宋" w:hAnsi="仿宋" w:eastAsia="仿宋" w:cs="仿宋"/>
          <w:spacing w:val="2"/>
          <w:sz w:val="27"/>
          <w:szCs w:val="27"/>
          <w:lang w:eastAsia="zh-CN"/>
        </w:rPr>
        <w:t>：</w:t>
      </w:r>
    </w:p>
    <w:p w14:paraId="57A600F4">
      <w:pPr>
        <w:spacing w:before="88" w:line="339" w:lineRule="auto"/>
        <w:ind w:right="368" w:firstLine="564" w:firstLineChars="200"/>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p>
    <w:p w14:paraId="35828545">
      <w:pPr>
        <w:spacing w:before="88" w:line="339" w:lineRule="auto"/>
        <w:ind w:right="368" w:firstLine="556" w:firstLineChars="200"/>
        <w:rPr>
          <w:rFonts w:ascii="仿宋" w:hAnsi="仿宋" w:eastAsia="仿宋" w:cs="仿宋"/>
          <w:sz w:val="27"/>
          <w:szCs w:val="27"/>
        </w:rPr>
      </w:pPr>
      <w:r>
        <w:rPr>
          <w:rFonts w:ascii="仿宋" w:hAnsi="仿宋" w:eastAsia="仿宋" w:cs="仿宋"/>
          <w:spacing w:val="4"/>
          <w:sz w:val="27"/>
          <w:szCs w:val="27"/>
        </w:rPr>
        <w:t>3.制止乙方损害出租土地和农业资源的行为；</w:t>
      </w:r>
    </w:p>
    <w:p w14:paraId="68FD77CE">
      <w:pPr>
        <w:spacing w:before="47" w:line="223" w:lineRule="auto"/>
        <w:ind w:firstLine="552" w:firstLineChars="200"/>
        <w:rPr>
          <w:rFonts w:ascii="仿宋" w:hAnsi="仿宋" w:eastAsia="仿宋" w:cs="仿宋"/>
          <w:sz w:val="27"/>
          <w:szCs w:val="27"/>
        </w:rPr>
      </w:pPr>
      <w:r>
        <w:rPr>
          <w:rFonts w:ascii="仿宋" w:hAnsi="仿宋" w:eastAsia="仿宋" w:cs="仿宋"/>
          <w:spacing w:val="3"/>
          <w:sz w:val="27"/>
          <w:szCs w:val="27"/>
        </w:rPr>
        <w:t>4.租赁期限届满后收回土地经营权；</w:t>
      </w:r>
    </w:p>
    <w:p w14:paraId="6B9A6EEF">
      <w:pPr>
        <w:spacing w:before="193" w:line="223" w:lineRule="auto"/>
        <w:ind w:left="538" w:leftChars="256" w:firstLine="0" w:firstLineChars="0"/>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none" w:color="auto"/>
        </w:rPr>
        <w:t xml:space="preserve"> </w:t>
      </w:r>
      <w:r>
        <w:rPr>
          <w:rFonts w:hint="eastAsia" w:ascii="仿宋" w:hAnsi="仿宋" w:eastAsia="仿宋" w:cs="仿宋"/>
          <w:color w:val="000000" w:themeColor="text1"/>
          <w:spacing w:val="2"/>
          <w:sz w:val="27"/>
          <w:szCs w:val="27"/>
          <w:u w:val="none" w:color="auto"/>
          <w:lang w:eastAsia="zh-CN"/>
          <w14:textFill>
            <w14:solidFill>
              <w14:schemeClr w14:val="tx1"/>
            </w14:solidFill>
          </w14:textFill>
        </w:rPr>
        <w:t>乙方经甲方同意以转让、合作、转包、出租、入股、抵押或者其他方式流转承包地产生增值的，增值部分的</w:t>
      </w:r>
      <w:r>
        <w:rPr>
          <w:rFonts w:hint="eastAsia" w:ascii="仿宋" w:hAnsi="仿宋" w:eastAsia="仿宋" w:cs="仿宋"/>
          <w:color w:val="000000" w:themeColor="text1"/>
          <w:spacing w:val="2"/>
          <w:sz w:val="27"/>
          <w:szCs w:val="27"/>
          <w:u w:val="none" w:color="auto"/>
          <w:lang w:val="en-US" w:eastAsia="zh-CN"/>
          <w14:textFill>
            <w14:solidFill>
              <w14:schemeClr w14:val="tx1"/>
            </w14:solidFill>
          </w14:textFill>
        </w:rPr>
        <w:t>50%归甲方；以转包、出租、互换或者其他方式流转的，乙方应经甲方书面同意方可实施，并如乙方擅自转让，甲方有权解除承包合同，收回承包土地</w:t>
      </w:r>
      <w:r>
        <w:rPr>
          <w:rFonts w:hint="eastAsia" w:ascii="仿宋" w:hAnsi="仿宋" w:eastAsia="仿宋" w:cs="仿宋"/>
          <w:color w:val="000000" w:themeColor="text1"/>
          <w:spacing w:val="2"/>
          <w:sz w:val="27"/>
          <w:szCs w:val="27"/>
          <w:u w:val="none" w:color="auto"/>
          <w:lang w:eastAsia="zh-CN"/>
          <w14:textFill>
            <w14:solidFill>
              <w14:schemeClr w14:val="tx1"/>
            </w14:solidFill>
          </w14:textFill>
        </w:rPr>
        <w:t>。</w:t>
      </w:r>
      <w:r>
        <w:rPr>
          <w:rFonts w:ascii="仿宋" w:hAnsi="仿宋" w:eastAsia="仿宋" w:cs="仿宋"/>
          <w:color w:val="000000" w:themeColor="text1"/>
          <w:spacing w:val="2"/>
          <w:sz w:val="27"/>
          <w:szCs w:val="27"/>
          <w:u w:val="none" w:color="auto"/>
          <w14:textFill>
            <w14:solidFill>
              <w14:schemeClr w14:val="tx1"/>
            </w14:solidFill>
          </w14:textFill>
        </w:rPr>
        <w:t xml:space="preserve"> </w:t>
      </w:r>
      <w:r>
        <w:rPr>
          <w:rFonts w:ascii="仿宋" w:hAnsi="仿宋" w:eastAsia="仿宋" w:cs="仿宋"/>
          <w:color w:val="E54C5E" w:themeColor="accent6"/>
          <w:spacing w:val="2"/>
          <w:sz w:val="27"/>
          <w:szCs w:val="27"/>
          <w:u w:val="none" w:color="auto"/>
          <w14:textFill>
            <w14:solidFill>
              <w14:schemeClr w14:val="accent6"/>
            </w14:solidFill>
          </w14:textFill>
        </w:rPr>
        <w:t xml:space="preserve">      </w:t>
      </w:r>
      <w:r>
        <w:rPr>
          <w:rFonts w:ascii="仿宋" w:hAnsi="仿宋" w:eastAsia="仿宋" w:cs="仿宋"/>
          <w:spacing w:val="2"/>
          <w:sz w:val="27"/>
          <w:szCs w:val="27"/>
          <w:u w:val="none" w:color="auto"/>
        </w:rPr>
        <w:t xml:space="preserve">    </w:t>
      </w:r>
      <w:r>
        <w:rPr>
          <w:rFonts w:ascii="仿宋" w:hAnsi="仿宋" w:eastAsia="仿宋" w:cs="仿宋"/>
          <w:spacing w:val="1"/>
          <w:sz w:val="27"/>
          <w:szCs w:val="27"/>
          <w:u w:val="none" w:color="auto"/>
        </w:rPr>
        <w:t xml:space="preserve">                          </w:t>
      </w:r>
      <w:r>
        <w:rPr>
          <w:rFonts w:ascii="仿宋" w:hAnsi="仿宋" w:eastAsia="仿宋" w:cs="仿宋"/>
          <w:spacing w:val="1"/>
          <w:sz w:val="27"/>
          <w:szCs w:val="27"/>
        </w:rPr>
        <w:t>。</w:t>
      </w:r>
    </w:p>
    <w:p w14:paraId="6C6121BF">
      <w:pPr>
        <w:spacing w:before="193" w:line="224" w:lineRule="auto"/>
        <w:ind w:firstLine="568" w:firstLineChars="200"/>
        <w:rPr>
          <w:rFonts w:ascii="仿宋" w:hAnsi="仿宋" w:eastAsia="仿宋" w:cs="仿宋"/>
          <w:sz w:val="27"/>
          <w:szCs w:val="27"/>
        </w:rPr>
      </w:pPr>
      <w:r>
        <w:rPr>
          <w:rFonts w:ascii="仿宋" w:hAnsi="仿宋" w:eastAsia="仿宋" w:cs="仿宋"/>
          <w:spacing w:val="7"/>
          <w:sz w:val="27"/>
          <w:szCs w:val="27"/>
        </w:rPr>
        <w:t>（二）甲方的义务</w:t>
      </w:r>
    </w:p>
    <w:p w14:paraId="4BB128BE">
      <w:pPr>
        <w:spacing w:before="193" w:line="223" w:lineRule="auto"/>
        <w:ind w:firstLine="548" w:firstLineChars="200"/>
        <w:rPr>
          <w:rFonts w:hint="eastAsia" w:ascii="仿宋" w:hAnsi="仿宋" w:eastAsia="仿宋" w:cs="仿宋"/>
          <w:sz w:val="27"/>
          <w:szCs w:val="27"/>
          <w:lang w:eastAsia="zh-CN"/>
        </w:rPr>
      </w:pPr>
      <w:r>
        <w:rPr>
          <w:rFonts w:ascii="仿宋" w:hAnsi="仿宋" w:eastAsia="仿宋" w:cs="仿宋"/>
          <w:spacing w:val="2"/>
          <w:sz w:val="27"/>
          <w:szCs w:val="27"/>
        </w:rPr>
        <w:t>1.按照合同约定交付出租土地；</w:t>
      </w:r>
    </w:p>
    <w:p w14:paraId="2A6E9D61">
      <w:pPr>
        <w:spacing w:before="193" w:line="340" w:lineRule="auto"/>
        <w:ind w:firstLine="564" w:firstLineChars="200"/>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5AF18746">
      <w:pPr>
        <w:spacing w:before="45" w:line="340" w:lineRule="auto"/>
        <w:ind w:right="1051" w:firstLine="560" w:firstLineChars="200"/>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p>
    <w:p w14:paraId="6D0AE16C">
      <w:pPr>
        <w:spacing w:before="45" w:line="340" w:lineRule="auto"/>
        <w:ind w:right="1051" w:firstLine="532" w:firstLineChars="200"/>
        <w:rPr>
          <w:rFonts w:ascii="仿宋" w:hAnsi="仿宋" w:eastAsia="仿宋" w:cs="仿宋"/>
          <w:spacing w:val="-3"/>
          <w:sz w:val="27"/>
          <w:szCs w:val="27"/>
        </w:rPr>
      </w:pP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66D4385C">
      <w:pPr>
        <w:spacing w:before="88" w:line="339" w:lineRule="auto"/>
        <w:ind w:right="368" w:firstLine="572" w:firstLineChars="200"/>
        <w:rPr>
          <w:rFonts w:ascii="黑体" w:hAnsi="黑体" w:eastAsia="黑体" w:cs="黑体"/>
          <w:sz w:val="27"/>
          <w:szCs w:val="27"/>
        </w:rPr>
      </w:pPr>
      <w:r>
        <w:rPr>
          <w:rFonts w:ascii="黑体" w:hAnsi="黑体" w:eastAsia="黑体" w:cs="黑体"/>
          <w:spacing w:val="8"/>
          <w:sz w:val="27"/>
          <w:szCs w:val="27"/>
        </w:rPr>
        <w:t>八、乙方的权利和义务</w:t>
      </w:r>
    </w:p>
    <w:p w14:paraId="6C44EBE5">
      <w:pPr>
        <w:spacing w:before="190" w:line="224" w:lineRule="auto"/>
        <w:ind w:firstLine="260" w:firstLineChars="100"/>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7568B622">
      <w:pPr>
        <w:spacing w:before="192" w:line="223" w:lineRule="auto"/>
        <w:ind w:firstLine="552" w:firstLineChars="200"/>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730B726B">
      <w:pPr>
        <w:spacing w:before="193" w:line="341" w:lineRule="auto"/>
        <w:ind w:left="538" w:leftChars="256" w:right="138" w:firstLine="0" w:firstLineChars="0"/>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pacing w:val="-7"/>
          <w:sz w:val="27"/>
          <w:szCs w:val="27"/>
        </w:rPr>
        <w:t>取得收益；</w:t>
      </w:r>
    </w:p>
    <w:p w14:paraId="5CD81B7E">
      <w:pPr>
        <w:spacing w:before="42" w:line="339" w:lineRule="auto"/>
        <w:ind w:left="538" w:leftChars="256" w:right="138" w:firstLine="0" w:firstLineChars="0"/>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10762792">
      <w:pPr>
        <w:spacing w:before="50" w:line="221" w:lineRule="auto"/>
        <w:ind w:firstLine="560" w:firstLineChars="200"/>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1797F1B0">
      <w:pPr>
        <w:spacing w:before="196" w:line="223" w:lineRule="auto"/>
        <w:ind w:firstLine="548" w:firstLineChars="200"/>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167BF8FB">
      <w:pPr>
        <w:spacing w:before="193" w:line="225" w:lineRule="auto"/>
        <w:ind w:firstLine="568" w:firstLineChars="200"/>
        <w:rPr>
          <w:rFonts w:ascii="仿宋" w:hAnsi="仿宋" w:eastAsia="仿宋" w:cs="仿宋"/>
          <w:sz w:val="27"/>
          <w:szCs w:val="27"/>
        </w:rPr>
      </w:pPr>
      <w:r>
        <w:rPr>
          <w:rFonts w:ascii="仿宋" w:hAnsi="仿宋" w:eastAsia="仿宋" w:cs="仿宋"/>
          <w:spacing w:val="7"/>
          <w:sz w:val="27"/>
          <w:szCs w:val="27"/>
        </w:rPr>
        <w:t>（二）乙方的义务</w:t>
      </w:r>
    </w:p>
    <w:p w14:paraId="2B331312">
      <w:pPr>
        <w:spacing w:before="193" w:line="220" w:lineRule="auto"/>
        <w:ind w:left="572" w:right="8" w:hanging="572" w:hangingChars="200"/>
        <w:jc w:val="left"/>
        <w:rPr>
          <w:rFonts w:ascii="仿宋" w:hAnsi="仿宋" w:eastAsia="仿宋" w:cs="仿宋"/>
          <w:sz w:val="27"/>
          <w:szCs w:val="27"/>
        </w:rPr>
      </w:pPr>
      <w:r>
        <w:rPr>
          <w:rFonts w:hint="eastAsia" w:ascii="仿宋" w:hAnsi="仿宋" w:eastAsia="仿宋" w:cs="仿宋"/>
          <w:spacing w:val="8"/>
          <w:sz w:val="27"/>
          <w:szCs w:val="27"/>
          <w:lang w:val="en-US" w:eastAsia="zh-CN"/>
        </w:rPr>
        <w:t xml:space="preserve">   </w:t>
      </w:r>
      <w:r>
        <w:rPr>
          <w:rFonts w:ascii="仿宋" w:hAnsi="仿宋" w:eastAsia="仿宋" w:cs="仿宋"/>
          <w:spacing w:val="8"/>
          <w:sz w:val="27"/>
          <w:szCs w:val="27"/>
        </w:rPr>
        <w:t>1.按照合同约定及时接受出租土地并按照约定向甲方支付租金</w:t>
      </w:r>
      <w:r>
        <w:rPr>
          <w:rFonts w:hint="eastAsia" w:ascii="仿宋" w:hAnsi="仿宋" w:eastAsia="仿宋" w:cs="仿宋"/>
          <w:spacing w:val="8"/>
          <w:sz w:val="27"/>
          <w:szCs w:val="27"/>
          <w:lang w:eastAsia="zh-CN"/>
        </w:rPr>
        <w:t>固定分红</w:t>
      </w:r>
      <w:r>
        <w:rPr>
          <w:rFonts w:ascii="仿宋" w:hAnsi="仿宋" w:eastAsia="仿宋" w:cs="仿宋"/>
          <w:spacing w:val="8"/>
          <w:sz w:val="27"/>
          <w:szCs w:val="27"/>
        </w:rPr>
        <w:t>；</w:t>
      </w:r>
    </w:p>
    <w:p w14:paraId="5660792F">
      <w:pPr>
        <w:spacing w:before="199" w:line="344" w:lineRule="auto"/>
        <w:ind w:left="538" w:leftChars="256" w:right="64" w:firstLine="0" w:firstLineChars="0"/>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hint="eastAsia" w:ascii="仿宋" w:hAnsi="仿宋" w:eastAsia="仿宋" w:cs="仿宋"/>
          <w:spacing w:val="7"/>
          <w:sz w:val="27"/>
          <w:szCs w:val="27"/>
          <w:lang w:eastAsia="zh-CN"/>
        </w:rPr>
        <w:t>，</w:t>
      </w:r>
      <w:r>
        <w:rPr>
          <w:rFonts w:ascii="仿宋" w:hAnsi="仿宋" w:eastAsia="仿宋" w:cs="仿宋"/>
          <w:spacing w:val="5"/>
          <w:sz w:val="27"/>
          <w:szCs w:val="27"/>
        </w:rPr>
        <w:t>不得破坏农业综合生产能力和农业生态环境；</w:t>
      </w:r>
    </w:p>
    <w:p w14:paraId="454D2C57">
      <w:pPr>
        <w:spacing w:before="88" w:line="346" w:lineRule="auto"/>
        <w:ind w:left="538" w:leftChars="256" w:right="399" w:firstLine="0" w:firstLineChars="0"/>
        <w:rPr>
          <w:rFonts w:ascii="仿宋" w:hAnsi="仿宋" w:eastAsia="仿宋" w:cs="仿宋"/>
          <w:sz w:val="27"/>
          <w:szCs w:val="27"/>
        </w:rPr>
      </w:pPr>
      <w:r>
        <w:rPr>
          <w:rFonts w:ascii="仿宋" w:hAnsi="仿宋" w:eastAsia="仿宋" w:cs="仿宋"/>
          <w:spacing w:val="4"/>
          <w:sz w:val="27"/>
          <w:szCs w:val="27"/>
        </w:rPr>
        <w:t>3.依据有关法律法规保护出租土地，禁止改变出租土地的农业用</w:t>
      </w: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
          <w:sz w:val="27"/>
          <w:szCs w:val="27"/>
        </w:rPr>
        <w:t>采石、采矿、取土等，禁止占用出租的永久基本农田发展林果业和挖</w:t>
      </w:r>
      <w:r>
        <w:rPr>
          <w:rFonts w:ascii="仿宋" w:hAnsi="仿宋" w:eastAsia="仿宋" w:cs="仿宋"/>
          <w:spacing w:val="-10"/>
          <w:sz w:val="27"/>
          <w:szCs w:val="27"/>
        </w:rPr>
        <w:t>塘养鱼；</w:t>
      </w:r>
    </w:p>
    <w:p w14:paraId="120075E8">
      <w:pPr>
        <w:spacing w:before="46" w:line="223" w:lineRule="auto"/>
        <w:ind w:left="591"/>
        <w:rPr>
          <w:rFonts w:ascii="仿宋" w:hAnsi="仿宋" w:eastAsia="仿宋" w:cs="仿宋"/>
          <w:sz w:val="27"/>
          <w:szCs w:val="27"/>
        </w:rPr>
      </w:pPr>
      <w:r>
        <w:rPr>
          <w:rFonts w:hint="eastAsia" w:ascii="仿宋" w:hAnsi="仿宋" w:eastAsia="仿宋" w:cs="仿宋"/>
          <w:spacing w:val="2"/>
          <w:sz w:val="27"/>
          <w:szCs w:val="27"/>
          <w:lang w:val="en-US" w:eastAsia="zh-CN"/>
        </w:rPr>
        <w:t>4.</w:t>
      </w:r>
      <w:r>
        <w:rPr>
          <w:rFonts w:ascii="仿宋" w:hAnsi="仿宋" w:eastAsia="仿宋" w:cs="仿宋"/>
          <w:spacing w:val="2"/>
          <w:sz w:val="27"/>
          <w:szCs w:val="27"/>
        </w:rPr>
        <w:t>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7F251D53">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195CAEDC">
      <w:pPr>
        <w:spacing w:before="195" w:line="290" w:lineRule="auto"/>
        <w:ind w:left="571" w:leftChars="272" w:right="190" w:firstLine="149" w:firstLineChars="58"/>
        <w:rPr>
          <w:rFonts w:ascii="仿宋" w:hAnsi="仿宋" w:eastAsia="仿宋" w:cs="仿宋"/>
          <w:color w:val="000000" w:themeColor="text1"/>
          <w:sz w:val="27"/>
          <w:szCs w:val="27"/>
          <w14:textFill>
            <w14:solidFill>
              <w14:schemeClr w14:val="tx1"/>
            </w14:solidFill>
          </w14:textFill>
        </w:rPr>
      </w:pPr>
      <w:r>
        <w:rPr>
          <w:rFonts w:ascii="仿宋" w:hAnsi="仿宋" w:eastAsia="仿宋" w:cs="仿宋"/>
          <w:color w:val="000000" w:themeColor="text1"/>
          <w:spacing w:val="-6"/>
          <w:sz w:val="27"/>
          <w:szCs w:val="27"/>
          <w14:textFill>
            <w14:solidFill>
              <w14:schemeClr w14:val="tx1"/>
            </w14:solidFill>
          </w14:textFill>
        </w:rPr>
        <w:t>（</w:t>
      </w:r>
      <w:r>
        <w:rPr>
          <w:rFonts w:ascii="仿宋" w:hAnsi="仿宋" w:eastAsia="仿宋" w:cs="仿宋"/>
          <w:color w:val="000000" w:themeColor="text1"/>
          <w:spacing w:val="-68"/>
          <w:sz w:val="27"/>
          <w:szCs w:val="27"/>
          <w14:textFill>
            <w14:solidFill>
              <w14:schemeClr w14:val="tx1"/>
            </w14:solidFill>
          </w14:textFill>
        </w:rPr>
        <w:t xml:space="preserve"> </w:t>
      </w:r>
      <w:r>
        <w:rPr>
          <w:rFonts w:ascii="仿宋" w:hAnsi="仿宋" w:eastAsia="仿宋" w:cs="仿宋"/>
          <w:color w:val="000000" w:themeColor="text1"/>
          <w:spacing w:val="-6"/>
          <w:sz w:val="27"/>
          <w:szCs w:val="27"/>
          <w14:textFill>
            <w14:solidFill>
              <w14:schemeClr w14:val="tx1"/>
            </w14:solidFill>
          </w14:textFill>
        </w:rPr>
        <w:t>一</w:t>
      </w:r>
      <w:r>
        <w:rPr>
          <w:rFonts w:ascii="仿宋" w:hAnsi="仿宋" w:eastAsia="仿宋" w:cs="仿宋"/>
          <w:color w:val="000000" w:themeColor="text1"/>
          <w:spacing w:val="-58"/>
          <w:sz w:val="27"/>
          <w:szCs w:val="27"/>
          <w14:textFill>
            <w14:solidFill>
              <w14:schemeClr w14:val="tx1"/>
            </w14:solidFill>
          </w14:textFill>
        </w:rPr>
        <w:t xml:space="preserve"> </w:t>
      </w:r>
      <w:r>
        <w:rPr>
          <w:rFonts w:ascii="仿宋" w:hAnsi="仿宋" w:eastAsia="仿宋" w:cs="仿宋"/>
          <w:color w:val="000000" w:themeColor="text1"/>
          <w:spacing w:val="-6"/>
          <w:sz w:val="27"/>
          <w:szCs w:val="27"/>
          <w14:textFill>
            <w14:solidFill>
              <w14:schemeClr w14:val="tx1"/>
            </w14:solidFill>
          </w14:textFill>
        </w:rPr>
        <w:t>）</w:t>
      </w:r>
      <w:r>
        <w:rPr>
          <w:rFonts w:ascii="仿宋" w:hAnsi="仿宋" w:eastAsia="仿宋" w:cs="仿宋"/>
          <w:color w:val="000000" w:themeColor="text1"/>
          <w:spacing w:val="-9"/>
          <w:sz w:val="27"/>
          <w:szCs w:val="27"/>
          <w14:textFill>
            <w14:solidFill>
              <w14:schemeClr w14:val="tx1"/>
            </w14:solidFill>
          </w14:textFill>
        </w:rPr>
        <w:t>合同到期后的处理：</w:t>
      </w:r>
      <w:r>
        <w:rPr>
          <w:rFonts w:hint="eastAsia" w:ascii="仿宋" w:hAnsi="仿宋" w:eastAsia="仿宋" w:cs="仿宋"/>
          <w:color w:val="000000" w:themeColor="text1"/>
          <w:spacing w:val="-9"/>
          <w:sz w:val="27"/>
          <w:szCs w:val="27"/>
          <w:u w:val="none" w:color="auto"/>
          <w:lang w:eastAsia="zh-CN"/>
          <w14:textFill>
            <w14:solidFill>
              <w14:schemeClr w14:val="tx1"/>
            </w14:solidFill>
          </w14:textFill>
        </w:rPr>
        <w:t>甲方收回承包土地，土地上建筑物和设施及其他地上附着物乙方要在</w:t>
      </w:r>
      <w:r>
        <w:rPr>
          <w:rFonts w:hint="eastAsia" w:ascii="仿宋" w:hAnsi="仿宋" w:eastAsia="仿宋" w:cs="仿宋"/>
          <w:color w:val="000000" w:themeColor="text1"/>
          <w:spacing w:val="-9"/>
          <w:sz w:val="27"/>
          <w:szCs w:val="27"/>
          <w:u w:val="none" w:color="auto"/>
          <w:lang w:val="en-US" w:eastAsia="zh-CN"/>
          <w14:textFill>
            <w14:solidFill>
              <w14:schemeClr w14:val="tx1"/>
            </w14:solidFill>
          </w14:textFill>
        </w:rPr>
        <w:t>1个月内完成清理。若甲方据需发包，同等条件下乙方具有优先承包权</w:t>
      </w:r>
      <w:r>
        <w:rPr>
          <w:rFonts w:ascii="仿宋" w:hAnsi="仿宋" w:eastAsia="仿宋" w:cs="仿宋"/>
          <w:color w:val="000000" w:themeColor="text1"/>
          <w:spacing w:val="-9"/>
          <w:sz w:val="27"/>
          <w:szCs w:val="27"/>
          <w:u w:val="none" w:color="auto"/>
          <w14:textFill>
            <w14:solidFill>
              <w14:schemeClr w14:val="tx1"/>
            </w14:solidFill>
          </w14:textFill>
        </w:rPr>
        <w:t xml:space="preserve">                              </w:t>
      </w:r>
      <w:r>
        <w:rPr>
          <w:rFonts w:ascii="仿宋" w:hAnsi="仿宋" w:eastAsia="仿宋" w:cs="仿宋"/>
          <w:color w:val="000000" w:themeColor="text1"/>
          <w:spacing w:val="-9"/>
          <w:sz w:val="27"/>
          <w:szCs w:val="27"/>
          <w14:textFill>
            <w14:solidFill>
              <w14:schemeClr w14:val="tx1"/>
            </w14:solidFill>
          </w14:textFill>
        </w:rPr>
        <w:t>。</w:t>
      </w:r>
    </w:p>
    <w:p w14:paraId="1B86BEC2">
      <w:pPr>
        <w:spacing w:before="190" w:line="289" w:lineRule="auto"/>
        <w:ind w:left="571" w:leftChars="272" w:right="181" w:firstLine="158" w:firstLineChars="58"/>
        <w:rPr>
          <w:rFonts w:ascii="仿宋" w:hAnsi="仿宋" w:eastAsia="仿宋" w:cs="仿宋"/>
          <w:color w:val="000000" w:themeColor="text1"/>
          <w:sz w:val="27"/>
          <w:szCs w:val="27"/>
          <w14:textFill>
            <w14:solidFill>
              <w14:schemeClr w14:val="tx1"/>
            </w14:solidFill>
          </w14:textFill>
        </w:rPr>
      </w:pPr>
      <w:r>
        <w:rPr>
          <w:rFonts w:ascii="仿宋" w:hAnsi="仿宋" w:eastAsia="仿宋" w:cs="仿宋"/>
          <w:color w:val="000000" w:themeColor="text1"/>
          <w:spacing w:val="2"/>
          <w:sz w:val="27"/>
          <w:szCs w:val="27"/>
          <w14:textFill>
            <w14:solidFill>
              <w14:schemeClr w14:val="tx1"/>
            </w14:solidFill>
          </w14:textFill>
        </w:rPr>
        <w:t>（</w:t>
      </w:r>
      <w:r>
        <w:rPr>
          <w:rFonts w:hint="eastAsia" w:ascii="仿宋" w:hAnsi="仿宋" w:eastAsia="仿宋" w:cs="仿宋"/>
          <w:color w:val="000000" w:themeColor="text1"/>
          <w:spacing w:val="2"/>
          <w:sz w:val="27"/>
          <w:szCs w:val="27"/>
          <w:lang w:eastAsia="zh-CN"/>
          <w14:textFill>
            <w14:solidFill>
              <w14:schemeClr w14:val="tx1"/>
            </w14:solidFill>
          </w14:textFill>
        </w:rPr>
        <w:t>二</w:t>
      </w:r>
      <w:r>
        <w:rPr>
          <w:rFonts w:ascii="仿宋" w:hAnsi="仿宋" w:eastAsia="仿宋" w:cs="仿宋"/>
          <w:color w:val="000000" w:themeColor="text1"/>
          <w:spacing w:val="2"/>
          <w:sz w:val="27"/>
          <w:szCs w:val="27"/>
          <w14:textFill>
            <w14:solidFill>
              <w14:schemeClr w14:val="tx1"/>
            </w14:solidFill>
          </w14:textFill>
        </w:rPr>
        <w:t>）本合同期限内，</w:t>
      </w:r>
      <w:r>
        <w:rPr>
          <w:rFonts w:ascii="仿宋" w:hAnsi="仿宋" w:eastAsia="仿宋" w:cs="仿宋"/>
          <w:color w:val="000000" w:themeColor="text1"/>
          <w:spacing w:val="-47"/>
          <w:sz w:val="27"/>
          <w:szCs w:val="27"/>
          <w14:textFill>
            <w14:solidFill>
              <w14:schemeClr w14:val="tx1"/>
            </w14:solidFill>
          </w14:textFill>
        </w:rPr>
        <w:t xml:space="preserve"> </w:t>
      </w:r>
      <w:r>
        <w:rPr>
          <w:rFonts w:ascii="仿宋" w:hAnsi="仿宋" w:eastAsia="仿宋" w:cs="仿宋"/>
          <w:color w:val="000000" w:themeColor="text1"/>
          <w:spacing w:val="2"/>
          <w:sz w:val="27"/>
          <w:szCs w:val="27"/>
          <w14:textFill>
            <w14:solidFill>
              <w14:schemeClr w14:val="tx1"/>
            </w14:solidFill>
          </w14:textFill>
        </w:rPr>
        <w:t>出租土地被依法征收、征用、占用时，有</w:t>
      </w:r>
      <w:r>
        <w:rPr>
          <w:rFonts w:ascii="仿宋" w:hAnsi="仿宋" w:eastAsia="仿宋" w:cs="仿宋"/>
          <w:color w:val="000000" w:themeColor="text1"/>
          <w:spacing w:val="-1"/>
          <w:sz w:val="27"/>
          <w:szCs w:val="27"/>
          <w14:textFill>
            <w14:solidFill>
              <w14:schemeClr w14:val="tx1"/>
            </w14:solidFill>
          </w14:textFill>
        </w:rPr>
        <w:t>关地上附着物及青苗补偿费的归属：</w:t>
      </w:r>
      <w:r>
        <w:rPr>
          <w:rFonts w:hint="eastAsia" w:ascii="仿宋" w:hAnsi="仿宋" w:eastAsia="仿宋" w:cs="仿宋"/>
          <w:color w:val="000000" w:themeColor="text1"/>
          <w:spacing w:val="-1"/>
          <w:sz w:val="27"/>
          <w:szCs w:val="27"/>
          <w:u w:val="none" w:color="auto"/>
          <w:lang w:eastAsia="zh-CN"/>
          <w14:textFill>
            <w14:solidFill>
              <w14:schemeClr w14:val="tx1"/>
            </w14:solidFill>
          </w14:textFill>
        </w:rPr>
        <w:t>土地补偿费归甲方所有，土地附着物补偿费归乙方所有</w:t>
      </w:r>
      <w:r>
        <w:rPr>
          <w:rFonts w:ascii="仿宋" w:hAnsi="仿宋" w:eastAsia="仿宋" w:cs="仿宋"/>
          <w:color w:val="000000" w:themeColor="text1"/>
          <w:spacing w:val="-1"/>
          <w:sz w:val="27"/>
          <w:szCs w:val="27"/>
          <w:u w:val="none" w:color="auto"/>
          <w14:textFill>
            <w14:solidFill>
              <w14:schemeClr w14:val="tx1"/>
            </w14:solidFill>
          </w14:textFill>
        </w:rPr>
        <w:t xml:space="preserve">                          </w:t>
      </w:r>
      <w:r>
        <w:rPr>
          <w:rFonts w:ascii="仿宋" w:hAnsi="仿宋" w:eastAsia="仿宋" w:cs="仿宋"/>
          <w:color w:val="000000" w:themeColor="text1"/>
          <w:spacing w:val="-1"/>
          <w:sz w:val="27"/>
          <w:szCs w:val="27"/>
          <w14:textFill>
            <w14:solidFill>
              <w14:schemeClr w14:val="tx1"/>
            </w14:solidFill>
          </w14:textFill>
        </w:rPr>
        <w:t>。</w:t>
      </w:r>
    </w:p>
    <w:p w14:paraId="10AF73B9">
      <w:pPr>
        <w:spacing w:before="196" w:line="223" w:lineRule="auto"/>
        <w:ind w:left="538" w:leftChars="256" w:firstLine="0" w:firstLineChars="0"/>
        <w:rPr>
          <w:rFonts w:ascii="仿宋" w:hAnsi="仿宋" w:eastAsia="仿宋" w:cs="仿宋"/>
          <w:sz w:val="27"/>
          <w:szCs w:val="27"/>
        </w:rPr>
      </w:pPr>
      <w:r>
        <w:rPr>
          <w:rFonts w:ascii="仿宋" w:hAnsi="仿宋" w:eastAsia="仿宋" w:cs="仿宋"/>
          <w:color w:val="000000" w:themeColor="text1"/>
          <w:spacing w:val="-22"/>
          <w:sz w:val="27"/>
          <w:szCs w:val="27"/>
          <w14:textFill>
            <w14:solidFill>
              <w14:schemeClr w14:val="tx1"/>
            </w14:solidFill>
          </w14:textFill>
        </w:rPr>
        <w:t>（</w:t>
      </w:r>
      <w:r>
        <w:rPr>
          <w:rFonts w:hint="eastAsia" w:ascii="仿宋" w:hAnsi="仿宋" w:eastAsia="仿宋" w:cs="仿宋"/>
          <w:color w:val="000000" w:themeColor="text1"/>
          <w:spacing w:val="-22"/>
          <w:sz w:val="27"/>
          <w:szCs w:val="27"/>
          <w:lang w:eastAsia="zh-CN"/>
          <w14:textFill>
            <w14:solidFill>
              <w14:schemeClr w14:val="tx1"/>
            </w14:solidFill>
          </w14:textFill>
        </w:rPr>
        <w:t>三</w:t>
      </w:r>
      <w:r>
        <w:rPr>
          <w:rFonts w:ascii="仿宋" w:hAnsi="仿宋" w:eastAsia="仿宋" w:cs="仿宋"/>
          <w:color w:val="000000" w:themeColor="text1"/>
          <w:spacing w:val="-22"/>
          <w:sz w:val="27"/>
          <w:szCs w:val="27"/>
          <w14:textFill>
            <w14:solidFill>
              <w14:schemeClr w14:val="tx1"/>
            </w14:solidFill>
          </w14:textFill>
        </w:rPr>
        <w:t>）其他</w:t>
      </w:r>
      <w:r>
        <w:rPr>
          <w:rFonts w:hint="eastAsia" w:ascii="仿宋" w:hAnsi="仿宋" w:eastAsia="仿宋" w:cs="仿宋"/>
          <w:color w:val="000000" w:themeColor="text1"/>
          <w:spacing w:val="-22"/>
          <w:sz w:val="27"/>
          <w:szCs w:val="27"/>
          <w:lang w:eastAsia="zh-CN"/>
          <w14:textFill>
            <w14:solidFill>
              <w14:schemeClr w14:val="tx1"/>
            </w14:solidFill>
          </w14:textFill>
        </w:rPr>
        <w:t>：</w:t>
      </w:r>
      <w:r>
        <w:rPr>
          <w:rFonts w:hint="eastAsia" w:ascii="仿宋" w:hAnsi="仿宋" w:eastAsia="仿宋" w:cs="仿宋"/>
          <w:color w:val="000000" w:themeColor="text1"/>
          <w:spacing w:val="2"/>
          <w:sz w:val="27"/>
          <w:szCs w:val="27"/>
          <w:u w:val="none" w:color="auto"/>
          <w:lang w:eastAsia="zh-CN"/>
          <w14:textFill>
            <w14:solidFill>
              <w14:schemeClr w14:val="tx1"/>
            </w14:solidFill>
          </w14:textFill>
        </w:rPr>
        <w:t>合同签订后，由新承包负责清理承包土地上现有的芒果树，并向</w:t>
      </w:r>
      <w:r>
        <w:rPr>
          <w:rFonts w:hint="eastAsia" w:ascii="仿宋" w:hAnsi="仿宋" w:eastAsia="仿宋" w:cs="仿宋"/>
          <w:color w:val="000000" w:themeColor="text1"/>
          <w:spacing w:val="2"/>
          <w:sz w:val="27"/>
          <w:szCs w:val="27"/>
          <w:u w:val="none" w:color="auto"/>
          <w:lang w:val="en-US" w:eastAsia="zh-CN"/>
          <w14:textFill>
            <w14:solidFill>
              <w14:schemeClr w14:val="tx1"/>
            </w14:solidFill>
          </w14:textFill>
        </w:rPr>
        <w:t>甲方</w:t>
      </w:r>
      <w:r>
        <w:rPr>
          <w:rFonts w:hint="eastAsia" w:ascii="仿宋" w:hAnsi="仿宋" w:eastAsia="仿宋" w:cs="仿宋"/>
          <w:color w:val="000000" w:themeColor="text1"/>
          <w:spacing w:val="2"/>
          <w:sz w:val="27"/>
          <w:szCs w:val="27"/>
          <w:u w:val="none" w:color="auto"/>
          <w:lang w:eastAsia="zh-CN"/>
          <w14:textFill>
            <w14:solidFill>
              <w14:schemeClr w14:val="tx1"/>
            </w14:solidFill>
          </w14:textFill>
        </w:rPr>
        <w:t>支付果树补偿费壹拾捌万元，</w:t>
      </w:r>
      <w:r>
        <w:rPr>
          <w:rFonts w:hint="eastAsia" w:ascii="仿宋" w:hAnsi="仿宋" w:eastAsia="仿宋" w:cs="仿宋"/>
          <w:color w:val="000000" w:themeColor="text1"/>
          <w:spacing w:val="2"/>
          <w:sz w:val="27"/>
          <w:szCs w:val="27"/>
          <w:u w:val="none" w:color="auto"/>
          <w:lang w:val="en-US" w:eastAsia="zh-CN"/>
          <w14:textFill>
            <w14:solidFill>
              <w14:schemeClr w14:val="tx1"/>
            </w14:solidFill>
          </w14:textFill>
        </w:rPr>
        <w:t>在由村集体支付给原承租方</w:t>
      </w:r>
      <w:r>
        <w:rPr>
          <w:rFonts w:hint="eastAsia" w:ascii="仿宋" w:hAnsi="仿宋" w:eastAsia="仿宋" w:cs="仿宋"/>
          <w:color w:val="000000" w:themeColor="text1"/>
          <w:spacing w:val="2"/>
          <w:sz w:val="27"/>
          <w:szCs w:val="27"/>
          <w:u w:val="none" w:color="auto"/>
          <w:lang w:eastAsia="zh-CN"/>
          <w14:textFill>
            <w14:solidFill>
              <w14:schemeClr w14:val="tx1"/>
            </w14:solidFill>
          </w14:textFill>
        </w:rPr>
        <w:t>；芒果树采伐证由新承包方自行办理或委托原承租方办理 。</w:t>
      </w:r>
      <w:r>
        <w:rPr>
          <w:rFonts w:ascii="仿宋" w:hAnsi="仿宋" w:eastAsia="仿宋" w:cs="仿宋"/>
          <w:color w:val="000000" w:themeColor="text1"/>
          <w:spacing w:val="2"/>
          <w:sz w:val="27"/>
          <w:szCs w:val="27"/>
          <w:u w:val="none" w:color="auto"/>
          <w14:textFill>
            <w14:solidFill>
              <w14:schemeClr w14:val="tx1"/>
            </w14:solidFill>
          </w14:textFill>
        </w:rPr>
        <w:t xml:space="preserve">  </w:t>
      </w:r>
    </w:p>
    <w:p w14:paraId="64EABCB5">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506FE37D">
      <w:pPr>
        <w:spacing w:before="188" w:line="322" w:lineRule="auto"/>
        <w:ind w:left="538" w:leftChars="256" w:right="328" w:firstLine="0" w:firstLineChars="0"/>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0FC3D7DC">
      <w:pPr>
        <w:spacing w:before="193" w:line="323" w:lineRule="auto"/>
        <w:ind w:left="538" w:leftChars="256" w:right="399" w:firstLine="0" w:firstLineChars="0"/>
        <w:rPr>
          <w:rFonts w:hint="eastAsia" w:ascii="仿宋" w:hAnsi="仿宋" w:eastAsia="仿宋" w:cs="仿宋"/>
          <w:sz w:val="27"/>
          <w:szCs w:val="27"/>
          <w:lang w:eastAsia="zh-CN"/>
        </w:rPr>
      </w:pPr>
      <w:r>
        <w:rPr>
          <w:rFonts w:ascii="仿宋" w:hAnsi="仿宋" w:eastAsia="仿宋" w:cs="仿宋"/>
          <w:sz w:val="27"/>
          <w:szCs w:val="27"/>
        </w:rPr>
        <w:t>（二）</w:t>
      </w:r>
      <w:r>
        <w:rPr>
          <w:rFonts w:hint="eastAsia" w:ascii="仿宋" w:hAnsi="仿宋" w:eastAsia="仿宋" w:cs="仿宋"/>
          <w:sz w:val="27"/>
          <w:szCs w:val="27"/>
          <w:lang w:eastAsia="zh-CN"/>
        </w:rPr>
        <w:t>在合同生效后，甲乙双方不得随意变更或解除合同，如有正当理由变更解除合同，必须提前三个月向对方提出书面申请，经双方协商同意后方可解除。</w:t>
      </w:r>
    </w:p>
    <w:p w14:paraId="048515AD">
      <w:pPr>
        <w:spacing w:before="88" w:line="225" w:lineRule="auto"/>
        <w:ind w:left="808" w:leftChars="256" w:hanging="270" w:hangingChars="100"/>
        <w:rPr>
          <w:rFonts w:hint="eastAsia" w:ascii="仿宋" w:hAnsi="仿宋" w:eastAsia="仿宋" w:cs="仿宋"/>
          <w:sz w:val="27"/>
          <w:szCs w:val="27"/>
          <w:lang w:eastAsia="zh-CN"/>
        </w:rPr>
      </w:pPr>
      <w:r>
        <w:rPr>
          <w:rFonts w:ascii="仿宋" w:hAnsi="仿宋" w:eastAsia="仿宋" w:cs="仿宋"/>
          <w:sz w:val="27"/>
          <w:szCs w:val="27"/>
        </w:rPr>
        <w:t>（三）合同到期或者未到期由甲方依法提前收回出</w:t>
      </w:r>
      <w:r>
        <w:rPr>
          <w:rFonts w:ascii="仿宋" w:hAnsi="仿宋" w:eastAsia="仿宋" w:cs="仿宋"/>
          <w:spacing w:val="-1"/>
          <w:sz w:val="27"/>
          <w:szCs w:val="27"/>
        </w:rPr>
        <w:t>租土地时，乙</w:t>
      </w: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r>
        <w:rPr>
          <w:rFonts w:hint="eastAsia" w:ascii="仿宋" w:hAnsi="仿宋" w:eastAsia="仿宋" w:cs="仿宋"/>
          <w:spacing w:val="5"/>
          <w:sz w:val="27"/>
          <w:szCs w:val="27"/>
          <w:lang w:eastAsia="zh-CN"/>
        </w:rPr>
        <w:t>由乙方在一个月内完成清理。</w:t>
      </w:r>
    </w:p>
    <w:p w14:paraId="5365BE98">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6EE37425">
      <w:pPr>
        <w:spacing w:before="184" w:line="226" w:lineRule="auto"/>
        <w:ind w:firstLine="786" w:firstLineChars="300"/>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52F110A1">
      <w:pPr>
        <w:spacing w:before="193" w:line="289" w:lineRule="auto"/>
        <w:ind w:left="806" w:leftChars="384" w:right="253" w:firstLine="0" w:firstLineChars="0"/>
        <w:rPr>
          <w:rFonts w:ascii="仿宋" w:hAnsi="仿宋" w:eastAsia="仿宋" w:cs="仿宋"/>
          <w:sz w:val="27"/>
          <w:szCs w:val="27"/>
        </w:rPr>
      </w:pPr>
      <w:r>
        <w:rPr>
          <w:rFonts w:ascii="仿宋" w:hAnsi="仿宋" w:eastAsia="仿宋" w:cs="仿宋"/>
          <w:spacing w:val="-1"/>
          <w:sz w:val="27"/>
          <w:szCs w:val="27"/>
        </w:rPr>
        <w:t>（</w:t>
      </w:r>
      <w:r>
        <w:rPr>
          <w:rFonts w:hint="eastAsia" w:ascii="仿宋" w:hAnsi="仿宋" w:eastAsia="仿宋" w:cs="仿宋"/>
          <w:spacing w:val="-1"/>
          <w:sz w:val="27"/>
          <w:szCs w:val="27"/>
          <w:lang w:eastAsia="zh-CN"/>
        </w:rPr>
        <w:t>二</w:t>
      </w:r>
      <w:r>
        <w:rPr>
          <w:rFonts w:ascii="仿宋" w:hAnsi="仿宋" w:eastAsia="仿宋" w:cs="仿宋"/>
          <w:spacing w:val="-1"/>
          <w:sz w:val="27"/>
          <w:szCs w:val="27"/>
        </w:rPr>
        <w:t>）甲方出租的土地存在权属纠纷或经济纠纷，</w:t>
      </w:r>
      <w:r>
        <w:rPr>
          <w:rFonts w:hint="eastAsia" w:ascii="仿宋" w:hAnsi="仿宋" w:eastAsia="仿宋" w:cs="仿宋"/>
          <w:color w:val="000000" w:themeColor="text1"/>
          <w:spacing w:val="-1"/>
          <w:sz w:val="27"/>
          <w:szCs w:val="27"/>
          <w:lang w:eastAsia="zh-CN"/>
          <w14:textFill>
            <w14:solidFill>
              <w14:schemeClr w14:val="tx1"/>
            </w14:solidFill>
          </w14:textFill>
        </w:rPr>
        <w:t>甲方必须在争议发生后的半个月内给予解决，如无法解决</w:t>
      </w:r>
      <w:r>
        <w:rPr>
          <w:rFonts w:ascii="仿宋" w:hAnsi="仿宋" w:eastAsia="仿宋" w:cs="仿宋"/>
          <w:spacing w:val="-1"/>
          <w:sz w:val="27"/>
          <w:szCs w:val="27"/>
        </w:rPr>
        <w:t>致使合同全部</w:t>
      </w:r>
      <w:r>
        <w:rPr>
          <w:rFonts w:ascii="仿宋" w:hAnsi="仿宋" w:eastAsia="仿宋" w:cs="仿宋"/>
          <w:spacing w:val="5"/>
          <w:sz w:val="27"/>
          <w:szCs w:val="27"/>
        </w:rPr>
        <w:t>或部分不能履行的，甲方应当赔偿损失。</w:t>
      </w:r>
    </w:p>
    <w:p w14:paraId="4CBD786D">
      <w:pPr>
        <w:spacing w:before="193" w:line="312" w:lineRule="auto"/>
        <w:ind w:left="806" w:leftChars="384" w:right="218" w:firstLine="0" w:firstLineChars="0"/>
        <w:rPr>
          <w:rFonts w:ascii="仿宋" w:hAnsi="仿宋" w:eastAsia="仿宋" w:cs="仿宋"/>
          <w:sz w:val="27"/>
          <w:szCs w:val="27"/>
        </w:rPr>
      </w:pPr>
      <w:r>
        <w:rPr>
          <w:rFonts w:ascii="仿宋" w:hAnsi="仿宋" w:eastAsia="仿宋" w:cs="仿宋"/>
          <w:spacing w:val="9"/>
          <w:sz w:val="27"/>
          <w:szCs w:val="27"/>
        </w:rPr>
        <w:t>（</w:t>
      </w:r>
      <w:r>
        <w:rPr>
          <w:rFonts w:hint="eastAsia" w:ascii="仿宋" w:hAnsi="仿宋" w:eastAsia="仿宋" w:cs="仿宋"/>
          <w:spacing w:val="9"/>
          <w:sz w:val="27"/>
          <w:szCs w:val="27"/>
          <w:lang w:eastAsia="zh-CN"/>
        </w:rPr>
        <w:t>三</w:t>
      </w:r>
      <w:r>
        <w:rPr>
          <w:rFonts w:ascii="仿宋" w:hAnsi="仿宋" w:eastAsia="仿宋" w:cs="仿宋"/>
          <w:spacing w:val="9"/>
          <w:sz w:val="27"/>
          <w:szCs w:val="27"/>
        </w:rPr>
        <w:t>）甲方违反合同约定擅自干涉和破坏乙方的生产经营,致使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pacing w:val="-4"/>
          <w:sz w:val="27"/>
          <w:szCs w:val="27"/>
        </w:rPr>
        <w:t>赔偿损失。</w:t>
      </w:r>
    </w:p>
    <w:p w14:paraId="3C742598">
      <w:pPr>
        <w:spacing w:before="191" w:line="312" w:lineRule="auto"/>
        <w:ind w:left="806" w:leftChars="384" w:right="219" w:firstLine="0" w:firstLineChars="0"/>
        <w:rPr>
          <w:rFonts w:ascii="仿宋" w:hAnsi="仿宋" w:eastAsia="仿宋" w:cs="仿宋"/>
          <w:sz w:val="27"/>
          <w:szCs w:val="27"/>
        </w:rPr>
      </w:pPr>
      <w:r>
        <w:rPr>
          <w:rFonts w:ascii="仿宋" w:hAnsi="仿宋" w:eastAsia="仿宋" w:cs="仿宋"/>
          <w:spacing w:val="-2"/>
          <w:sz w:val="27"/>
          <w:szCs w:val="27"/>
        </w:rPr>
        <w:t>（</w:t>
      </w:r>
      <w:r>
        <w:rPr>
          <w:rFonts w:hint="eastAsia" w:ascii="仿宋" w:hAnsi="仿宋" w:eastAsia="仿宋" w:cs="仿宋"/>
          <w:spacing w:val="-2"/>
          <w:sz w:val="27"/>
          <w:szCs w:val="27"/>
          <w:lang w:eastAsia="zh-CN"/>
        </w:rPr>
        <w:t>四</w:t>
      </w:r>
      <w:r>
        <w:rPr>
          <w:rFonts w:ascii="仿宋" w:hAnsi="仿宋" w:eastAsia="仿宋" w:cs="仿宋"/>
          <w:spacing w:val="-2"/>
          <w:sz w:val="27"/>
          <w:szCs w:val="27"/>
        </w:rPr>
        <w:t>）乙方应按照合同规定按时足额向甲方支付租金</w:t>
      </w:r>
      <w:r>
        <w:rPr>
          <w:rFonts w:hint="eastAsia" w:ascii="仿宋" w:hAnsi="仿宋" w:eastAsia="仿宋" w:cs="仿宋"/>
          <w:spacing w:val="-2"/>
          <w:sz w:val="27"/>
          <w:szCs w:val="27"/>
          <w:lang w:eastAsia="zh-CN"/>
        </w:rPr>
        <w:t>和固定分红款</w:t>
      </w:r>
      <w:r>
        <w:rPr>
          <w:rFonts w:ascii="仿宋" w:hAnsi="仿宋" w:eastAsia="仿宋" w:cs="仿宋"/>
          <w:spacing w:val="-2"/>
          <w:sz w:val="27"/>
          <w:szCs w:val="27"/>
        </w:rPr>
        <w:t>，</w:t>
      </w:r>
      <w:r>
        <w:rPr>
          <w:rFonts w:hint="eastAsia" w:ascii="仿宋" w:hAnsi="仿宋" w:eastAsia="仿宋" w:cs="仿宋"/>
          <w:spacing w:val="-2"/>
          <w:sz w:val="27"/>
          <w:szCs w:val="27"/>
          <w:lang w:eastAsia="zh-CN"/>
        </w:rPr>
        <w:t>若</w:t>
      </w:r>
      <w:r>
        <w:rPr>
          <w:rFonts w:ascii="仿宋" w:hAnsi="仿宋" w:eastAsia="仿宋" w:cs="仿宋"/>
          <w:spacing w:val="-2"/>
          <w:sz w:val="27"/>
          <w:szCs w:val="27"/>
        </w:rPr>
        <w:t>逾期</w:t>
      </w:r>
      <w:r>
        <w:rPr>
          <w:rFonts w:hint="eastAsia" w:ascii="仿宋" w:hAnsi="仿宋" w:eastAsia="仿宋" w:cs="仿宋"/>
          <w:spacing w:val="-2"/>
          <w:sz w:val="27"/>
          <w:szCs w:val="27"/>
          <w:lang w:eastAsia="zh-CN"/>
        </w:rPr>
        <w:t>满一年，甲方有权提出解除合同，收回承包土地</w:t>
      </w:r>
      <w:r>
        <w:rPr>
          <w:rFonts w:ascii="仿宋" w:hAnsi="仿宋" w:eastAsia="仿宋" w:cs="仿宋"/>
          <w:spacing w:val="4"/>
          <w:sz w:val="27"/>
          <w:szCs w:val="27"/>
        </w:rPr>
        <w:t>。</w:t>
      </w:r>
    </w:p>
    <w:p w14:paraId="13C734BB">
      <w:pPr>
        <w:spacing w:before="188" w:line="312" w:lineRule="auto"/>
        <w:ind w:left="806" w:leftChars="384" w:right="218" w:firstLine="0" w:firstLineChars="0"/>
        <w:rPr>
          <w:rFonts w:ascii="仿宋" w:hAnsi="仿宋" w:eastAsia="仿宋" w:cs="仿宋"/>
          <w:sz w:val="27"/>
          <w:szCs w:val="27"/>
        </w:rPr>
      </w:pPr>
      <w:r>
        <w:rPr>
          <w:rFonts w:ascii="仿宋" w:hAnsi="仿宋" w:eastAsia="仿宋" w:cs="仿宋"/>
          <w:spacing w:val="5"/>
          <w:sz w:val="27"/>
          <w:szCs w:val="27"/>
        </w:rPr>
        <w:t>（</w:t>
      </w:r>
      <w:r>
        <w:rPr>
          <w:rFonts w:hint="eastAsia" w:ascii="仿宋" w:hAnsi="仿宋" w:eastAsia="仿宋" w:cs="仿宋"/>
          <w:spacing w:val="5"/>
          <w:sz w:val="27"/>
          <w:szCs w:val="27"/>
          <w:lang w:eastAsia="zh-CN"/>
        </w:rPr>
        <w:t>五</w:t>
      </w:r>
      <w:r>
        <w:rPr>
          <w:rFonts w:ascii="仿宋" w:hAnsi="仿宋" w:eastAsia="仿宋" w:cs="仿宋"/>
          <w:spacing w:val="5"/>
          <w:sz w:val="27"/>
          <w:szCs w:val="27"/>
        </w:rPr>
        <w:t>）乙方擅自改变出租土地的农业用途、弃耕抛荒连续两年以</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生态环境的，甲方有</w:t>
      </w:r>
      <w:r>
        <w:rPr>
          <w:rFonts w:ascii="仿宋" w:hAnsi="仿宋" w:eastAsia="仿宋" w:cs="仿宋"/>
          <w:spacing w:val="6"/>
          <w:sz w:val="27"/>
          <w:szCs w:val="27"/>
        </w:rPr>
        <w:t>权解除合同、收回该土地经营权，并要求乙方赔偿损失。</w:t>
      </w:r>
    </w:p>
    <w:p w14:paraId="157D238E">
      <w:pPr>
        <w:spacing w:before="88" w:line="228" w:lineRule="auto"/>
        <w:ind w:left="585" w:firstLine="286" w:firstLineChars="100"/>
        <w:rPr>
          <w:rFonts w:ascii="黑体" w:hAnsi="黑体" w:eastAsia="黑体" w:cs="黑体"/>
          <w:sz w:val="27"/>
          <w:szCs w:val="27"/>
        </w:rPr>
      </w:pPr>
      <w:r>
        <w:rPr>
          <w:rFonts w:ascii="黑体" w:hAnsi="黑体" w:eastAsia="黑体" w:cs="黑体"/>
          <w:spacing w:val="8"/>
          <w:sz w:val="27"/>
          <w:szCs w:val="27"/>
        </w:rPr>
        <w:t>十二、合同争议解决方式</w:t>
      </w:r>
    </w:p>
    <w:p w14:paraId="069E24F0">
      <w:pPr>
        <w:spacing w:before="166" w:line="336" w:lineRule="auto"/>
        <w:ind w:left="538" w:leftChars="256" w:right="399" w:firstLine="274" w:firstLineChars="100"/>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商、调解不成的，可以依据《中华人民共和国农村土地承包法》第五</w:t>
      </w:r>
      <w:r>
        <w:rPr>
          <w:rFonts w:ascii="仿宋" w:hAnsi="仿宋" w:eastAsia="仿宋" w:cs="仿宋"/>
          <w:sz w:val="27"/>
          <w:szCs w:val="27"/>
        </w:rPr>
        <w:t xml:space="preserve"> </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z w:val="27"/>
          <w:szCs w:val="27"/>
        </w:rPr>
        <w:t xml:space="preserve"> </w:t>
      </w:r>
      <w:r>
        <w:rPr>
          <w:rFonts w:ascii="仿宋" w:hAnsi="仿宋" w:eastAsia="仿宋" w:cs="仿宋"/>
          <w:spacing w:val="-4"/>
          <w:sz w:val="27"/>
          <w:szCs w:val="27"/>
        </w:rPr>
        <w:t>民法院起诉。</w:t>
      </w:r>
    </w:p>
    <w:p w14:paraId="2DCFE69D">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51E3D682">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2AD0FE9F">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694DC1A8">
      <w:pPr>
        <w:spacing w:before="176" w:line="331" w:lineRule="auto"/>
        <w:ind w:left="25" w:right="400" w:firstLine="550"/>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份，由甲方、乙方、农村集体经济组织、乡（镇）人</w:t>
      </w:r>
      <w:r>
        <w:rPr>
          <w:rFonts w:ascii="仿宋" w:hAnsi="仿宋" w:eastAsia="仿宋" w:cs="仿宋"/>
          <w:sz w:val="27"/>
          <w:szCs w:val="27"/>
        </w:rPr>
        <w:t xml:space="preserve"> 民政府农村土地承包管理部门、 </w:t>
      </w:r>
      <w:r>
        <w:rPr>
          <w:rFonts w:ascii="仿宋" w:hAnsi="仿宋" w:eastAsia="仿宋" w:cs="仿宋"/>
          <w:sz w:val="27"/>
          <w:szCs w:val="27"/>
          <w:u w:val="single" w:color="auto"/>
        </w:rPr>
        <w:t xml:space="preserve">        </w:t>
      </w:r>
      <w:r>
        <w:rPr>
          <w:rFonts w:ascii="仿宋" w:hAnsi="仿宋" w:eastAsia="仿宋" w:cs="仿宋"/>
          <w:spacing w:val="-89"/>
          <w:sz w:val="27"/>
          <w:szCs w:val="27"/>
        </w:rPr>
        <w:t xml:space="preserve"> </w:t>
      </w:r>
      <w:r>
        <w:rPr>
          <w:rFonts w:ascii="仿宋" w:hAnsi="仿宋" w:eastAsia="仿宋" w:cs="仿宋"/>
          <w:sz w:val="27"/>
          <w:szCs w:val="27"/>
        </w:rPr>
        <w:t>，各执一份。</w:t>
      </w:r>
    </w:p>
    <w:p w14:paraId="6DB05A90">
      <w:pPr>
        <w:spacing w:line="317" w:lineRule="auto"/>
        <w:rPr>
          <w:rFonts w:ascii="Arial"/>
          <w:sz w:val="21"/>
        </w:rPr>
      </w:pPr>
    </w:p>
    <w:p w14:paraId="315AC671">
      <w:pPr>
        <w:spacing w:line="317" w:lineRule="auto"/>
        <w:rPr>
          <w:rFonts w:ascii="Arial"/>
          <w:sz w:val="21"/>
        </w:rPr>
      </w:pPr>
    </w:p>
    <w:p w14:paraId="5E3DF507">
      <w:pPr>
        <w:spacing w:line="317" w:lineRule="auto"/>
        <w:rPr>
          <w:rFonts w:ascii="Arial"/>
          <w:sz w:val="21"/>
        </w:rPr>
      </w:pPr>
    </w:p>
    <w:p w14:paraId="2EE11C96">
      <w:pPr>
        <w:spacing w:before="88" w:line="224" w:lineRule="auto"/>
        <w:ind w:left="62"/>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072BC499">
      <w:pPr>
        <w:spacing w:line="312" w:lineRule="auto"/>
        <w:rPr>
          <w:rFonts w:ascii="Arial"/>
          <w:sz w:val="21"/>
        </w:rPr>
      </w:pPr>
    </w:p>
    <w:p w14:paraId="22F7E0D2">
      <w:pPr>
        <w:spacing w:line="312" w:lineRule="auto"/>
        <w:rPr>
          <w:rFonts w:ascii="Arial"/>
          <w:sz w:val="21"/>
        </w:rPr>
      </w:pPr>
    </w:p>
    <w:p w14:paraId="4F9D04DA">
      <w:pPr>
        <w:spacing w:before="78" w:line="218" w:lineRule="auto"/>
        <w:ind w:left="24"/>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159890E7">
      <w:pPr>
        <w:spacing w:line="272" w:lineRule="auto"/>
        <w:rPr>
          <w:rFonts w:ascii="Arial"/>
          <w:sz w:val="21"/>
        </w:rPr>
      </w:pPr>
    </w:p>
    <w:p w14:paraId="11E808B4">
      <w:pPr>
        <w:spacing w:line="272" w:lineRule="auto"/>
        <w:rPr>
          <w:rFonts w:ascii="Arial"/>
          <w:sz w:val="21"/>
        </w:rPr>
      </w:pPr>
    </w:p>
    <w:p w14:paraId="7093794F">
      <w:pPr>
        <w:spacing w:line="272" w:lineRule="auto"/>
        <w:rPr>
          <w:rFonts w:ascii="Arial"/>
          <w:sz w:val="21"/>
        </w:rPr>
      </w:pPr>
    </w:p>
    <w:p w14:paraId="189C09AF">
      <w:pPr>
        <w:spacing w:line="272" w:lineRule="auto"/>
        <w:rPr>
          <w:rFonts w:ascii="Arial"/>
          <w:sz w:val="21"/>
        </w:rPr>
      </w:pPr>
    </w:p>
    <w:p w14:paraId="048E8E4A">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2FB42460">
      <w:pPr>
        <w:spacing w:before="173" w:line="225" w:lineRule="auto"/>
        <w:ind w:left="30"/>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1654">
    <w:pPr>
      <w:spacing w:line="178"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033C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9A033C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C5C7">
    <w:pPr>
      <w:spacing w:before="1" w:line="178"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A74D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5AA74D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1112">
    <w:pPr>
      <w:spacing w:line="175"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9283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049283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1112A">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31112A">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C47BF"/>
    <w:rsid w:val="00F447FD"/>
    <w:rsid w:val="085C1B10"/>
    <w:rsid w:val="0A5C6DB0"/>
    <w:rsid w:val="0BA81414"/>
    <w:rsid w:val="120570D3"/>
    <w:rsid w:val="137B529D"/>
    <w:rsid w:val="149427E0"/>
    <w:rsid w:val="15C44DE0"/>
    <w:rsid w:val="2E903C71"/>
    <w:rsid w:val="3B2A70BA"/>
    <w:rsid w:val="3D535A31"/>
    <w:rsid w:val="3DAC47BF"/>
    <w:rsid w:val="41E11AF8"/>
    <w:rsid w:val="472E5C5F"/>
    <w:rsid w:val="4D8E4A94"/>
    <w:rsid w:val="55D17332"/>
    <w:rsid w:val="633173E4"/>
    <w:rsid w:val="686C6A13"/>
    <w:rsid w:val="6F393CEA"/>
    <w:rsid w:val="70470C46"/>
    <w:rsid w:val="75F7708B"/>
    <w:rsid w:val="76EF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link w:val="10"/>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3213</Words>
  <Characters>3292</Characters>
  <Lines>0</Lines>
  <Paragraphs>0</Paragraphs>
  <TotalTime>16</TotalTime>
  <ScaleCrop>false</ScaleCrop>
  <LinksUpToDate>false</LinksUpToDate>
  <CharactersWithSpaces>4294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2025-05-19T03:37:00Z</dcterms:created>
  <dc:creator>Demon</dc:creator>
  <cp:lastModifiedBy>孙福街</cp:lastModifiedBy>
  <cp:lastPrinted>2025-06-06T06:43:00Z</cp:lastPrinted>
  <dcterms:modified xsi:type="dcterms:W3CDTF">2025-06-06T10:54:26Z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E7496EDE17DC4954A313DEC098144C63_13</vt:lpwstr>
  </property>
  <property fmtid="{D5CDD505-2E9C-101B-9397-08002B2CF9AE}" pid="4" name="KSOTemplateDocerSaveRecord">
    <vt:lpwstr>eyJoZGlkIjoiNWM0NTgyZTYyOWY5MDc4Y2QwNjc0NjlhZDMwNWY5MTgiLCJ1c2VySWQiOiIxMDAzNjA2NDA1In0=</vt:lpwstr>
  </property>
</Properties>
</file>