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20910"/>
      <w:bookmarkStart w:id="3" w:name="_Toc24454"/>
      <w:bookmarkStart w:id="4" w:name="_Toc21762"/>
      <w:bookmarkStart w:id="5" w:name="_Toc11918"/>
      <w:bookmarkStart w:id="6" w:name="_Toc32320"/>
      <w:bookmarkStart w:id="7" w:name="_Toc15737"/>
      <w:bookmarkStart w:id="8" w:name="_Toc24727"/>
      <w:bookmarkStart w:id="9" w:name="_Toc29002"/>
      <w:bookmarkStart w:id="10" w:name="_Toc13462"/>
      <w:bookmarkStart w:id="11" w:name="_Toc7615"/>
      <w:bookmarkStart w:id="12" w:name="_Toc25712"/>
      <w:bookmarkStart w:id="13" w:name="_Toc8396"/>
      <w:bookmarkStart w:id="14" w:name="_Toc24068"/>
      <w:bookmarkStart w:id="15" w:name="_Toc12789"/>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临高县和舍镇布大村委会81.4305亩林地发包</w:t>
      </w:r>
      <w:r>
        <w:rPr>
          <w:rFonts w:hint="eastAsia" w:ascii="新宋体" w:hAnsi="新宋体" w:eastAsia="新宋体"/>
          <w:b/>
          <w:bCs/>
          <w:color w:val="C00000"/>
          <w:sz w:val="28"/>
          <w:szCs w:val="28"/>
          <w:u w:val="single"/>
          <w:lang w:val="en-US" w:eastAsia="zh-CN"/>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14日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28500.675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7-15日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临高县和舍镇布大村委会81.4305亩林地发包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临高县和舍镇布大村委会81.4305亩林地发包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临高县和舍镇布大村委会81.4305亩林地发包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7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临高县和舍镇布大村委会81.4305亩林地发包</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1237"/>
      <w:bookmarkStart w:id="29" w:name="_Toc12264"/>
      <w:bookmarkStart w:id="30" w:name="_Toc13094"/>
      <w:bookmarkStart w:id="31" w:name="_Toc14469"/>
      <w:bookmarkStart w:id="32" w:name="_Toc4580"/>
      <w:bookmarkStart w:id="33" w:name="_Toc29841"/>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临高县和舍镇布大村委会81.4305亩林地发包</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海南省临高县和舍镇布大村股份经济合作联合社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临高县</w:t>
      </w:r>
      <w:r>
        <w:rPr>
          <w:rFonts w:hint="eastAsia" w:asciiTheme="minorEastAsia" w:hAnsiTheme="minorEastAsia" w:cstheme="minorEastAsia"/>
          <w:color w:val="C00000"/>
          <w:sz w:val="32"/>
          <w:szCs w:val="32"/>
          <w:u w:val="single"/>
          <w:lang w:val="en-US" w:eastAsia="zh-CN"/>
        </w:rPr>
        <w:t>临高县和舍镇布大村委会81.4305亩林地发包</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32"/>
          <w:szCs w:val="32"/>
          <w:lang w:val="en-US" w:eastAsia="zh-CN"/>
        </w:rPr>
        <w:t>临高县和舍镇布大村委会81.4305亩林地发包</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海南省临高县和舍镇布大村股份经济合作联合社</w:t>
      </w: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81.4305亩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28500.675元/年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：12000元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租金按两年一付</w:t>
      </w:r>
      <w:bookmarkStart w:id="36" w:name="_GoBack"/>
      <w:bookmarkEnd w:id="36"/>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李英青18089827000</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05772C0"/>
    <w:rsid w:val="11DE52CB"/>
    <w:rsid w:val="132D209C"/>
    <w:rsid w:val="148D1503"/>
    <w:rsid w:val="150A3847"/>
    <w:rsid w:val="16C136E5"/>
    <w:rsid w:val="16D93709"/>
    <w:rsid w:val="18E10F33"/>
    <w:rsid w:val="1A0C35CC"/>
    <w:rsid w:val="1A626F8D"/>
    <w:rsid w:val="1CE74D57"/>
    <w:rsid w:val="205C18F7"/>
    <w:rsid w:val="20BE4E97"/>
    <w:rsid w:val="2163678E"/>
    <w:rsid w:val="23C4301C"/>
    <w:rsid w:val="2741574C"/>
    <w:rsid w:val="29A96C5C"/>
    <w:rsid w:val="2C765212"/>
    <w:rsid w:val="30AA01BC"/>
    <w:rsid w:val="30B56AE1"/>
    <w:rsid w:val="30CE55FA"/>
    <w:rsid w:val="317C672F"/>
    <w:rsid w:val="327E6635"/>
    <w:rsid w:val="3321133C"/>
    <w:rsid w:val="347A51A8"/>
    <w:rsid w:val="3516702D"/>
    <w:rsid w:val="356B5D48"/>
    <w:rsid w:val="36257C7B"/>
    <w:rsid w:val="37E601A9"/>
    <w:rsid w:val="380361CD"/>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D30394E"/>
    <w:rsid w:val="7020414E"/>
    <w:rsid w:val="73C6500C"/>
    <w:rsid w:val="76312BA1"/>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6374</Words>
  <Characters>6664</Characters>
  <Lines>59</Lines>
  <Paragraphs>16</Paragraphs>
  <TotalTime>0</TotalTime>
  <ScaleCrop>false</ScaleCrop>
  <LinksUpToDate>false</LinksUpToDate>
  <CharactersWithSpaces>7096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2025-07-04T02:37:35Z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