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CB6B">
      <w:pPr>
        <w:spacing w:line="276" w:lineRule="auto"/>
        <w:ind w:firstLine="0" w:firstLineChars="0"/>
        <w:jc w:val="center"/>
        <w:rPr>
          <w:rFonts w:hint="eastAsia" w:ascii="宋体" w:hAnsi="宋体" w:eastAsia="宋体"/>
          <w:b/>
          <w:bCs/>
          <w:sz w:val="44"/>
          <w:szCs w:val="44"/>
          <w:highlight w:val="none"/>
        </w:rPr>
      </w:pPr>
      <w:r>
        <w:rPr>
          <w:rFonts w:hint="eastAsia" w:ascii="宋体" w:hAnsi="宋体" w:eastAsia="宋体"/>
          <w:b/>
          <w:bCs/>
          <w:sz w:val="44"/>
          <w:szCs w:val="44"/>
          <w:highlight w:val="none"/>
        </w:rPr>
        <w:t>剥离物购销合同</w:t>
      </w:r>
    </w:p>
    <w:p w14:paraId="0C143C36">
      <w:pPr>
        <w:spacing w:line="276" w:lineRule="auto"/>
        <w:ind w:firstLine="0" w:firstLineChars="0"/>
        <w:rPr>
          <w:rFonts w:hint="eastAsia" w:ascii="宋体" w:hAnsi="宋体" w:eastAsia="宋体"/>
          <w:sz w:val="21"/>
          <w:szCs w:val="21"/>
          <w:highlight w:val="none"/>
        </w:rPr>
      </w:pPr>
    </w:p>
    <w:p w14:paraId="49CFFBEC">
      <w:pPr>
        <w:spacing w:line="276" w:lineRule="auto"/>
        <w:ind w:firstLine="4830" w:firstLineChars="2300"/>
        <w:rPr>
          <w:rFonts w:hint="eastAsia" w:ascii="宋体" w:hAnsi="宋体" w:eastAsia="宋体"/>
          <w:sz w:val="21"/>
          <w:szCs w:val="21"/>
          <w:highlight w:val="none"/>
        </w:rPr>
      </w:pPr>
      <w:r>
        <w:rPr>
          <w:rFonts w:hint="eastAsia" w:ascii="宋体" w:hAnsi="宋体" w:eastAsia="宋体"/>
          <w:sz w:val="21"/>
          <w:szCs w:val="21"/>
          <w:highlight w:val="none"/>
        </w:rPr>
        <w:t xml:space="preserve">             合同编号： </w:t>
      </w:r>
    </w:p>
    <w:p w14:paraId="0C651B89">
      <w:pPr>
        <w:spacing w:line="276" w:lineRule="auto"/>
        <w:ind w:firstLine="6195" w:firstLineChars="2950"/>
        <w:rPr>
          <w:rFonts w:hint="eastAsia" w:ascii="宋体" w:hAnsi="宋体" w:eastAsia="宋体"/>
          <w:sz w:val="21"/>
          <w:szCs w:val="21"/>
          <w:highlight w:val="none"/>
        </w:rPr>
      </w:pPr>
      <w:r>
        <w:rPr>
          <w:rFonts w:hint="eastAsia" w:ascii="宋体" w:hAnsi="宋体" w:eastAsia="宋体"/>
          <w:sz w:val="21"/>
          <w:szCs w:val="21"/>
          <w:highlight w:val="none"/>
        </w:rPr>
        <w:t>签订地点：</w:t>
      </w:r>
    </w:p>
    <w:p w14:paraId="5E68116D">
      <w:pPr>
        <w:adjustRightInd w:val="0"/>
        <w:snapToGrid w:val="0"/>
        <w:spacing w:line="276" w:lineRule="auto"/>
        <w:ind w:firstLine="0" w:firstLineChars="0"/>
        <w:rPr>
          <w:rFonts w:hint="eastAsia" w:ascii="宋体" w:hAnsi="宋体" w:eastAsia="宋体"/>
          <w:sz w:val="21"/>
          <w:szCs w:val="21"/>
          <w:highlight w:val="none"/>
        </w:rPr>
      </w:pPr>
    </w:p>
    <w:p w14:paraId="63C25444">
      <w:pPr>
        <w:adjustRightInd w:val="0"/>
        <w:snapToGrid w:val="0"/>
        <w:spacing w:line="276" w:lineRule="auto"/>
        <w:ind w:firstLine="0" w:firstLineChars="0"/>
        <w:rPr>
          <w:rFonts w:hint="eastAsia" w:ascii="宋体" w:hAnsi="宋体" w:eastAsia="宋体"/>
          <w:sz w:val="21"/>
          <w:szCs w:val="21"/>
          <w:highlight w:val="none"/>
          <w:u w:val="single"/>
        </w:rPr>
      </w:pPr>
    </w:p>
    <w:p w14:paraId="1B043034">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卖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w:t>
      </w:r>
      <w:r>
        <w:rPr>
          <w:rFonts w:hint="eastAsia" w:ascii="宋体" w:hAnsi="宋体" w:eastAsia="宋体"/>
          <w:sz w:val="21"/>
          <w:szCs w:val="21"/>
          <w:highlight w:val="none"/>
        </w:rPr>
        <w:t>）</w:t>
      </w:r>
    </w:p>
    <w:p w14:paraId="5BDBB776">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w:t>
      </w:r>
    </w:p>
    <w:p w14:paraId="7010C5F0">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w:t>
      </w:r>
    </w:p>
    <w:p w14:paraId="11DB57B1">
      <w:pPr>
        <w:widowControl/>
        <w:ind w:firstLine="0" w:firstLineChars="0"/>
        <w:jc w:val="left"/>
        <w:rPr>
          <w:rFonts w:hint="eastAsia" w:ascii="宋体" w:hAnsi="宋体" w:eastAsia="宋体" w:cs="宋体"/>
          <w:kern w:val="0"/>
          <w:sz w:val="24"/>
          <w:highlight w:val="none"/>
        </w:rPr>
      </w:pPr>
    </w:p>
    <w:p w14:paraId="44C45D3D">
      <w:pPr>
        <w:adjustRightInd w:val="0"/>
        <w:snapToGrid w:val="0"/>
        <w:spacing w:line="276" w:lineRule="auto"/>
        <w:ind w:firstLine="0" w:firstLineChars="0"/>
        <w:rPr>
          <w:rFonts w:hint="eastAsia" w:ascii="宋体" w:hAnsi="宋体" w:eastAsia="宋体"/>
          <w:sz w:val="21"/>
          <w:szCs w:val="21"/>
          <w:highlight w:val="none"/>
          <w:u w:val="single"/>
        </w:rPr>
      </w:pPr>
    </w:p>
    <w:p w14:paraId="412D4980">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买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乙方</w:t>
      </w:r>
      <w:r>
        <w:rPr>
          <w:rFonts w:ascii="宋体" w:hAnsi="宋体" w:eastAsia="宋体"/>
          <w:sz w:val="21"/>
          <w:szCs w:val="21"/>
          <w:highlight w:val="none"/>
        </w:rPr>
        <w:t>”</w:t>
      </w:r>
      <w:r>
        <w:rPr>
          <w:rFonts w:hint="eastAsia" w:ascii="宋体" w:hAnsi="宋体" w:eastAsia="宋体"/>
          <w:sz w:val="21"/>
          <w:szCs w:val="21"/>
          <w:highlight w:val="none"/>
        </w:rPr>
        <w:t>）</w:t>
      </w:r>
    </w:p>
    <w:p w14:paraId="0F9E77B0">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w:t>
      </w:r>
    </w:p>
    <w:p w14:paraId="682C3518">
      <w:pPr>
        <w:adjustRightInd w:val="0"/>
        <w:snapToGrid w:val="0"/>
        <w:spacing w:line="276" w:lineRule="auto"/>
        <w:ind w:firstLine="0" w:firstLineChars="0"/>
        <w:rPr>
          <w:rFonts w:hint="eastAsia"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xml:space="preserve">                               </w:t>
      </w:r>
    </w:p>
    <w:p w14:paraId="24BA28C0">
      <w:pPr>
        <w:adjustRightInd w:val="0"/>
        <w:snapToGrid w:val="0"/>
        <w:spacing w:line="276" w:lineRule="auto"/>
        <w:ind w:firstLine="0" w:firstLineChars="0"/>
        <w:rPr>
          <w:rFonts w:hint="eastAsia" w:ascii="宋体" w:hAnsi="宋体" w:eastAsia="宋体"/>
          <w:sz w:val="21"/>
          <w:szCs w:val="21"/>
          <w:highlight w:val="none"/>
          <w:u w:val="single"/>
        </w:rPr>
      </w:pPr>
    </w:p>
    <w:p w14:paraId="3263D092">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甲、乙双方根据</w:t>
      </w:r>
      <w:r>
        <w:rPr>
          <w:rFonts w:hint="eastAsia" w:ascii="宋体" w:hAnsi="宋体" w:eastAsia="宋体" w:cs="宋体"/>
          <w:sz w:val="21"/>
          <w:szCs w:val="21"/>
          <w:highlight w:val="none"/>
        </w:rPr>
        <w:t>《中华人民共和国民法典》</w:t>
      </w:r>
      <w:r>
        <w:rPr>
          <w:rFonts w:hint="eastAsia" w:ascii="宋体" w:hAnsi="宋体" w:eastAsia="宋体"/>
          <w:sz w:val="21"/>
          <w:szCs w:val="21"/>
          <w:highlight w:val="none"/>
        </w:rPr>
        <w:t>及其他有关法律、法规的规定，本着诚实信用、互惠互利的商业合作精神，在平等自愿、协商一致的基础上，就剥离物购销事宜签订本合同，以资信守。</w:t>
      </w:r>
    </w:p>
    <w:p w14:paraId="5DA8CB55">
      <w:pPr>
        <w:adjustRightInd w:val="0"/>
        <w:snapToGrid w:val="0"/>
        <w:spacing w:line="276" w:lineRule="auto"/>
        <w:ind w:firstLine="422"/>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第一条  产品名称、品种规格、价格、数量</w:t>
      </w:r>
    </w:p>
    <w:p w14:paraId="6A9BFB70">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甲方自合同约定时间起，按下表所列产品、规格及价格向乙方供应骨料产品：</w:t>
      </w:r>
    </w:p>
    <w:tbl>
      <w:tblPr>
        <w:tblStyle w:val="7"/>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554"/>
        <w:gridCol w:w="856"/>
        <w:gridCol w:w="1455"/>
        <w:gridCol w:w="1474"/>
        <w:gridCol w:w="1283"/>
      </w:tblGrid>
      <w:tr w14:paraId="59A9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2A5B474C">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产品名称</w:t>
            </w:r>
          </w:p>
        </w:tc>
        <w:tc>
          <w:tcPr>
            <w:tcW w:w="1554" w:type="dxa"/>
            <w:vAlign w:val="center"/>
          </w:tcPr>
          <w:p w14:paraId="0E8EF2AC">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不含税结算价</w:t>
            </w:r>
          </w:p>
          <w:p w14:paraId="6E2A8F70">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（元/吨）</w:t>
            </w:r>
          </w:p>
        </w:tc>
        <w:tc>
          <w:tcPr>
            <w:tcW w:w="856" w:type="dxa"/>
            <w:vAlign w:val="center"/>
          </w:tcPr>
          <w:p w14:paraId="36C6E879">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税率</w:t>
            </w:r>
          </w:p>
        </w:tc>
        <w:tc>
          <w:tcPr>
            <w:tcW w:w="1455" w:type="dxa"/>
            <w:vAlign w:val="center"/>
          </w:tcPr>
          <w:p w14:paraId="6DA6EDB3">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含税结算价（元/吨）</w:t>
            </w:r>
          </w:p>
        </w:tc>
        <w:tc>
          <w:tcPr>
            <w:tcW w:w="1474" w:type="dxa"/>
            <w:vAlign w:val="center"/>
          </w:tcPr>
          <w:p w14:paraId="4AA5BFF6">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交货方式</w:t>
            </w:r>
          </w:p>
        </w:tc>
        <w:tc>
          <w:tcPr>
            <w:tcW w:w="1283" w:type="dxa"/>
            <w:vAlign w:val="center"/>
          </w:tcPr>
          <w:p w14:paraId="39A0C0A2">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计划提货数量（吨）</w:t>
            </w:r>
          </w:p>
        </w:tc>
      </w:tr>
      <w:tr w14:paraId="145D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11FE56B4">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强风化层</w:t>
            </w:r>
          </w:p>
        </w:tc>
        <w:tc>
          <w:tcPr>
            <w:tcW w:w="1554" w:type="dxa"/>
            <w:vAlign w:val="center"/>
          </w:tcPr>
          <w:p w14:paraId="24C23408">
            <w:pPr>
              <w:adjustRightInd w:val="0"/>
              <w:snapToGrid w:val="0"/>
              <w:ind w:firstLine="0" w:firstLineChars="0"/>
              <w:jc w:val="center"/>
              <w:rPr>
                <w:rFonts w:hint="eastAsia" w:ascii="宋体" w:hAnsi="宋体" w:eastAsia="宋体"/>
                <w:sz w:val="21"/>
                <w:szCs w:val="21"/>
                <w:highlight w:val="none"/>
              </w:rPr>
            </w:pPr>
          </w:p>
        </w:tc>
        <w:tc>
          <w:tcPr>
            <w:tcW w:w="856" w:type="dxa"/>
          </w:tcPr>
          <w:p w14:paraId="0CB068E6">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57644FE9">
            <w:pPr>
              <w:ind w:firstLine="0" w:firstLineChars="0"/>
              <w:jc w:val="center"/>
              <w:rPr>
                <w:rFonts w:hint="eastAsia" w:ascii="宋体" w:hAnsi="宋体" w:eastAsia="宋体"/>
                <w:sz w:val="21"/>
                <w:szCs w:val="21"/>
                <w:highlight w:val="none"/>
              </w:rPr>
            </w:pPr>
          </w:p>
        </w:tc>
        <w:tc>
          <w:tcPr>
            <w:tcW w:w="1474" w:type="dxa"/>
            <w:vAlign w:val="center"/>
          </w:tcPr>
          <w:p w14:paraId="5A1063B7">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438A735E">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万</w:t>
            </w:r>
          </w:p>
        </w:tc>
      </w:tr>
      <w:tr w14:paraId="602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057AD6B0">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剥离土</w:t>
            </w:r>
          </w:p>
        </w:tc>
        <w:tc>
          <w:tcPr>
            <w:tcW w:w="1554" w:type="dxa"/>
            <w:vAlign w:val="center"/>
          </w:tcPr>
          <w:p w14:paraId="6C859BEB">
            <w:pPr>
              <w:adjustRightInd w:val="0"/>
              <w:snapToGrid w:val="0"/>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9.71</w:t>
            </w:r>
          </w:p>
        </w:tc>
        <w:tc>
          <w:tcPr>
            <w:tcW w:w="856" w:type="dxa"/>
          </w:tcPr>
          <w:p w14:paraId="3022ACBE">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474303AB">
            <w:pPr>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p>
        </w:tc>
        <w:tc>
          <w:tcPr>
            <w:tcW w:w="1474" w:type="dxa"/>
            <w:vAlign w:val="center"/>
          </w:tcPr>
          <w:p w14:paraId="03FF05BC">
            <w:pPr>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65461AB7">
            <w:pPr>
              <w:adjustRightInd w:val="0"/>
              <w:snapToGrid w:val="0"/>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万</w:t>
            </w:r>
          </w:p>
        </w:tc>
      </w:tr>
    </w:tbl>
    <w:p w14:paraId="7461D150">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说明：</w:t>
      </w:r>
    </w:p>
    <w:p w14:paraId="23D87604">
      <w:pPr>
        <w:adjustRightInd w:val="0"/>
        <w:snapToGrid w:val="0"/>
        <w:spacing w:line="276" w:lineRule="auto"/>
        <w:ind w:firstLine="440"/>
        <w:rPr>
          <w:rFonts w:hint="eastAsia" w:ascii="宋体" w:hAnsi="宋体" w:eastAsia="宋体"/>
          <w:sz w:val="21"/>
          <w:szCs w:val="21"/>
          <w:highlight w:val="none"/>
        </w:rPr>
      </w:pPr>
      <w:r>
        <w:rPr>
          <w:rFonts w:hint="eastAsia" w:ascii="宋体" w:hAnsi="宋体" w:eastAsia="宋体"/>
          <w:sz w:val="22"/>
          <w:szCs w:val="22"/>
          <w:highlight w:val="none"/>
        </w:rPr>
        <w:t>1、</w:t>
      </w:r>
      <w:r>
        <w:rPr>
          <w:rFonts w:hint="eastAsia" w:ascii="宋体" w:hAnsi="宋体" w:eastAsia="宋体"/>
          <w:bCs/>
          <w:sz w:val="21"/>
          <w:highlight w:val="none"/>
        </w:rPr>
        <w:t>含税结算价</w:t>
      </w:r>
      <w:r>
        <w:rPr>
          <w:rFonts w:hint="eastAsia" w:ascii="宋体" w:hAnsi="宋体" w:eastAsia="宋体"/>
          <w:sz w:val="21"/>
          <w:highlight w:val="none"/>
        </w:rPr>
        <w:t>为产品在甲方</w:t>
      </w:r>
      <w:r>
        <w:rPr>
          <w:rFonts w:hint="eastAsia" w:ascii="宋体" w:hAnsi="宋体" w:eastAsia="宋体"/>
          <w:sz w:val="21"/>
          <w:highlight w:val="none"/>
          <w:u w:val="single"/>
        </w:rPr>
        <w:t>生产厂自提</w:t>
      </w:r>
      <w:r>
        <w:rPr>
          <w:rFonts w:hint="eastAsia" w:ascii="宋体" w:hAnsi="宋体" w:eastAsia="宋体"/>
          <w:sz w:val="21"/>
          <w:highlight w:val="none"/>
        </w:rPr>
        <w:t>的现金交货价格。</w:t>
      </w:r>
    </w:p>
    <w:p w14:paraId="613213B2">
      <w:pPr>
        <w:numPr>
          <w:ilvl w:val="0"/>
          <w:numId w:val="0"/>
        </w:numPr>
        <w:adjustRightInd w:val="0"/>
        <w:snapToGrid w:val="0"/>
        <w:spacing w:line="276" w:lineRule="auto"/>
        <w:ind w:firstLine="420" w:firstLineChars="200"/>
        <w:rPr>
          <w:highlight w:val="none"/>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乙方应于每月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日前，以书面形式通知甲方下一月度产品需求计划，以便甲方组织生产。如</w:t>
      </w:r>
      <w:r>
        <w:rPr>
          <w:rFonts w:ascii="宋体" w:hAnsi="宋体" w:eastAsia="宋体"/>
          <w:sz w:val="21"/>
          <w:szCs w:val="21"/>
          <w:highlight w:val="none"/>
        </w:rPr>
        <w:t>遇</w:t>
      </w:r>
      <w:r>
        <w:rPr>
          <w:rFonts w:hint="eastAsia" w:ascii="宋体" w:hAnsi="宋体" w:eastAsia="宋体"/>
          <w:sz w:val="21"/>
          <w:szCs w:val="21"/>
          <w:highlight w:val="none"/>
        </w:rPr>
        <w:t>不可抗力因素（指诸如战争、严重的火灾、台风、地震、洪水、停限电、政府原因以及任何其他不能预见、不能避免且不能克服的事件）或甲方工厂设备检修、故障等</w:t>
      </w:r>
      <w:r>
        <w:rPr>
          <w:rFonts w:ascii="宋体" w:hAnsi="宋体" w:eastAsia="宋体"/>
          <w:sz w:val="21"/>
          <w:szCs w:val="21"/>
          <w:highlight w:val="none"/>
        </w:rPr>
        <w:t>情形</w:t>
      </w:r>
      <w:r>
        <w:rPr>
          <w:rFonts w:hint="eastAsia" w:ascii="宋体" w:hAnsi="宋体" w:eastAsia="宋体"/>
          <w:sz w:val="21"/>
          <w:szCs w:val="21"/>
          <w:highlight w:val="none"/>
        </w:rPr>
        <w:t>，</w:t>
      </w:r>
      <w:r>
        <w:rPr>
          <w:rFonts w:hint="eastAsia" w:ascii="宋体" w:hAnsi="宋体" w:eastAsia="宋体"/>
          <w:sz w:val="22"/>
          <w:szCs w:val="22"/>
          <w:highlight w:val="none"/>
        </w:rPr>
        <w:t>甲方应提前正式书面通知乙方，避免因此产生损失</w:t>
      </w:r>
      <w:r>
        <w:rPr>
          <w:rFonts w:hint="eastAsia" w:ascii="宋体" w:hAnsi="宋体" w:eastAsia="宋体"/>
          <w:sz w:val="21"/>
          <w:szCs w:val="21"/>
          <w:highlight w:val="none"/>
        </w:rPr>
        <w:t>。</w:t>
      </w:r>
    </w:p>
    <w:p w14:paraId="73C33159">
      <w:pPr>
        <w:adjustRightInd w:val="0"/>
        <w:snapToGrid w:val="0"/>
        <w:spacing w:line="276" w:lineRule="auto"/>
        <w:ind w:firstLine="420" w:firstLineChars="0"/>
        <w:rPr>
          <w:rFonts w:hint="eastAsia" w:ascii="宋体" w:hAnsi="宋体" w:eastAsia="宋体"/>
          <w:b/>
          <w:bCs/>
          <w:sz w:val="21"/>
          <w:szCs w:val="21"/>
          <w:highlight w:val="none"/>
        </w:rPr>
      </w:pPr>
      <w:r>
        <w:rPr>
          <w:rFonts w:hint="eastAsia" w:ascii="宋体" w:hAnsi="宋体" w:eastAsia="宋体"/>
          <w:b/>
          <w:bCs/>
          <w:sz w:val="21"/>
          <w:szCs w:val="21"/>
          <w:highlight w:val="none"/>
        </w:rPr>
        <w:t>第二条  质量要求</w:t>
      </w:r>
    </w:p>
    <w:p w14:paraId="351CB4A9">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甲方供应的强风化层</w:t>
      </w:r>
      <w:r>
        <w:rPr>
          <w:rFonts w:hint="eastAsia" w:ascii="宋体" w:hAnsi="宋体" w:eastAsia="宋体"/>
          <w:sz w:val="21"/>
          <w:szCs w:val="21"/>
          <w:highlight w:val="none"/>
          <w:lang w:val="en-US" w:eastAsia="zh-CN"/>
        </w:rPr>
        <w:t>不含清理或分拣，仍存在部分剥离土</w:t>
      </w:r>
      <w:r>
        <w:rPr>
          <w:rFonts w:hint="eastAsia" w:ascii="宋体" w:hAnsi="宋体" w:eastAsia="宋体"/>
          <w:sz w:val="21"/>
          <w:szCs w:val="21"/>
          <w:highlight w:val="none"/>
        </w:rPr>
        <w:t>。</w:t>
      </w:r>
    </w:p>
    <w:p w14:paraId="188857EB">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剥离</w:t>
      </w:r>
      <w:r>
        <w:rPr>
          <w:rFonts w:hint="eastAsia" w:ascii="宋体" w:hAnsi="宋体" w:eastAsia="宋体"/>
          <w:sz w:val="21"/>
          <w:szCs w:val="21"/>
          <w:highlight w:val="none"/>
          <w:lang w:val="en-US" w:eastAsia="zh-CN"/>
        </w:rPr>
        <w:t>层</w:t>
      </w:r>
      <w:r>
        <w:rPr>
          <w:rFonts w:hint="eastAsia" w:ascii="宋体" w:hAnsi="宋体" w:eastAsia="宋体"/>
          <w:sz w:val="21"/>
          <w:szCs w:val="21"/>
          <w:highlight w:val="none"/>
        </w:rPr>
        <w:t>可用于场地平整、修路、回填、矿山复垦。</w:t>
      </w:r>
    </w:p>
    <w:p w14:paraId="135D141A">
      <w:pPr>
        <w:adjustRightInd w:val="0"/>
        <w:snapToGrid w:val="0"/>
        <w:spacing w:line="276" w:lineRule="auto"/>
        <w:ind w:firstLine="422"/>
        <w:rPr>
          <w:rFonts w:hint="eastAsia" w:ascii="宋体" w:hAnsi="宋体" w:eastAsia="宋体"/>
          <w:sz w:val="21"/>
          <w:szCs w:val="21"/>
          <w:highlight w:val="none"/>
        </w:rPr>
      </w:pPr>
      <w:r>
        <w:rPr>
          <w:rFonts w:hint="eastAsia" w:ascii="宋体" w:hAnsi="宋体" w:eastAsia="宋体"/>
          <w:b/>
          <w:bCs/>
          <w:sz w:val="21"/>
          <w:szCs w:val="21"/>
          <w:highlight w:val="none"/>
        </w:rPr>
        <w:t>第三条  交货时间、交货地点、交货方式、货物签收及运杂费结算</w:t>
      </w:r>
    </w:p>
    <w:p w14:paraId="42111EEA">
      <w:pPr>
        <w:adjustRightInd w:val="0"/>
        <w:snapToGrid w:val="0"/>
        <w:spacing w:line="276" w:lineRule="auto"/>
        <w:ind w:firstLine="420"/>
        <w:rPr>
          <w:rFonts w:hint="eastAsia" w:ascii="宋体" w:hAnsi="宋体" w:eastAsia="宋体"/>
          <w:sz w:val="21"/>
          <w:szCs w:val="21"/>
          <w:highlight w:val="none"/>
          <w:u w:val="single"/>
        </w:rPr>
      </w:pPr>
      <w:r>
        <w:rPr>
          <w:rFonts w:hint="eastAsia" w:ascii="宋体" w:hAnsi="宋体" w:eastAsia="宋体"/>
          <w:sz w:val="21"/>
          <w:szCs w:val="21"/>
          <w:highlight w:val="none"/>
        </w:rPr>
        <w:t>1、交货时间：甲方于2025年7月  日起开始首次交货。</w:t>
      </w:r>
    </w:p>
    <w:p w14:paraId="237CFBB3">
      <w:pPr>
        <w:adjustRightInd w:val="0"/>
        <w:snapToGrid w:val="0"/>
        <w:spacing w:line="276" w:lineRule="auto"/>
        <w:ind w:firstLine="420"/>
        <w:outlineLvl w:val="0"/>
        <w:rPr>
          <w:rFonts w:hint="eastAsia" w:ascii="宋体" w:hAnsi="宋体" w:eastAsia="宋体"/>
          <w:sz w:val="21"/>
          <w:szCs w:val="21"/>
          <w:highlight w:val="none"/>
        </w:rPr>
      </w:pPr>
      <w:r>
        <w:rPr>
          <w:rFonts w:hint="eastAsia" w:ascii="宋体" w:hAnsi="宋体" w:eastAsia="宋体"/>
          <w:sz w:val="21"/>
          <w:szCs w:val="21"/>
          <w:highlight w:val="none"/>
        </w:rPr>
        <w:t>2、交货方式及地点</w:t>
      </w:r>
    </w:p>
    <w:p w14:paraId="3138B08A">
      <w:pPr>
        <w:adjustRightInd w:val="0"/>
        <w:snapToGrid w:val="0"/>
        <w:spacing w:line="276" w:lineRule="auto"/>
        <w:ind w:firstLine="420"/>
        <w:outlineLvl w:val="0"/>
        <w:rPr>
          <w:rFonts w:hint="eastAsia" w:ascii="宋体" w:hAnsi="宋体" w:eastAsia="宋体"/>
          <w:sz w:val="21"/>
          <w:szCs w:val="21"/>
          <w:highlight w:val="none"/>
          <w:u w:val="single"/>
        </w:rPr>
      </w:pPr>
      <w:r>
        <w:rPr>
          <w:rFonts w:hint="eastAsia" w:ascii="宋体" w:hAnsi="宋体" w:eastAsia="宋体"/>
          <w:sz w:val="21"/>
          <w:szCs w:val="21"/>
          <w:highlight w:val="none"/>
        </w:rPr>
        <w:t>乙方自提：乙方自行安排运输工具提货，运杂费由乙方承担，交货地点为</w:t>
      </w:r>
      <w:r>
        <w:rPr>
          <w:rFonts w:hint="eastAsia" w:ascii="宋体" w:hAnsi="宋体" w:eastAsia="宋体"/>
          <w:sz w:val="21"/>
          <w:szCs w:val="21"/>
          <w:highlight w:val="none"/>
          <w:u w:val="single"/>
        </w:rPr>
        <w:t xml:space="preserve"> 屯昌县大月岭花岗岩项目加工区（X381县道北侧）  </w:t>
      </w:r>
      <w:r>
        <w:rPr>
          <w:rFonts w:hint="eastAsia" w:ascii="宋体" w:hAnsi="宋体" w:eastAsia="宋体"/>
          <w:sz w:val="21"/>
          <w:szCs w:val="21"/>
          <w:highlight w:val="none"/>
        </w:rPr>
        <w:t>。</w:t>
      </w:r>
    </w:p>
    <w:p w14:paraId="2A7ACAB6">
      <w:pPr>
        <w:adjustRightInd w:val="0"/>
        <w:snapToGrid w:val="0"/>
        <w:spacing w:line="276" w:lineRule="auto"/>
        <w:ind w:firstLine="420"/>
        <w:outlineLvl w:val="0"/>
        <w:rPr>
          <w:rFonts w:hint="eastAsia" w:ascii="宋体" w:hAnsi="宋体" w:eastAsia="宋体"/>
          <w:sz w:val="21"/>
          <w:szCs w:val="21"/>
          <w:highlight w:val="none"/>
        </w:rPr>
      </w:pPr>
      <w:r>
        <w:rPr>
          <w:rFonts w:ascii="宋体" w:hAnsi="宋体" w:eastAsia="宋体"/>
          <w:sz w:val="21"/>
          <w:szCs w:val="21"/>
          <w:highlight w:val="none"/>
        </w:rPr>
        <w:t>3</w:t>
      </w:r>
      <w:r>
        <w:rPr>
          <w:rFonts w:hint="eastAsia" w:ascii="宋体" w:hAnsi="宋体" w:eastAsia="宋体"/>
          <w:sz w:val="21"/>
          <w:szCs w:val="21"/>
          <w:highlight w:val="none"/>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08F6DB2D">
      <w:pPr>
        <w:adjustRightInd w:val="0"/>
        <w:snapToGrid w:val="0"/>
        <w:spacing w:line="276" w:lineRule="auto"/>
        <w:ind w:firstLine="413" w:firstLineChars="196"/>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第四条  计量标准</w:t>
      </w:r>
    </w:p>
    <w:p w14:paraId="2B410935">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以甲方过磅数量为准（地磅须经法定计量检测机构认可），合理损耗按</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的标准执行。乙方可抽检复磅（地磅须经法定计量检测机构认可），若乙方抽检结果与甲方提供的过磅数量磅差值在</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以内，甲、乙双方同意属于正常，该批货物结算数量以甲方过磅单数量为准，复磅费用由乙方承担；若甲、乙双方磅负差超过</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，则可经双方认可的第三方地磅进行复核（第三方地磅须经法定计量检测机构认可），该批货物结算数量以与</w:t>
      </w:r>
      <w:r>
        <w:rPr>
          <w:rFonts w:ascii="宋体" w:hAnsi="宋体" w:eastAsia="宋体"/>
          <w:sz w:val="21"/>
          <w:szCs w:val="21"/>
          <w:highlight w:val="none"/>
        </w:rPr>
        <w:t>第三方复磅</w:t>
      </w:r>
      <w:r>
        <w:rPr>
          <w:rFonts w:hint="eastAsia" w:ascii="宋体" w:hAnsi="宋体" w:eastAsia="宋体"/>
          <w:sz w:val="21"/>
          <w:szCs w:val="21"/>
          <w:highlight w:val="none"/>
        </w:rPr>
        <w:t>误差量小的</w:t>
      </w:r>
      <w:r>
        <w:rPr>
          <w:rFonts w:ascii="宋体" w:hAnsi="宋体" w:eastAsia="宋体"/>
          <w:sz w:val="21"/>
          <w:szCs w:val="21"/>
          <w:highlight w:val="none"/>
        </w:rPr>
        <w:t>一方</w:t>
      </w:r>
      <w:r>
        <w:rPr>
          <w:rFonts w:hint="eastAsia" w:ascii="宋体" w:hAnsi="宋体" w:eastAsia="宋体"/>
          <w:sz w:val="21"/>
          <w:szCs w:val="21"/>
          <w:highlight w:val="none"/>
        </w:rPr>
        <w:t>过磅数量为准，复磅费用由误差量大的一方承担。乙方抽检复磅须在签收产品时书面提出并当场检验。</w:t>
      </w:r>
    </w:p>
    <w:p w14:paraId="585A0CB2">
      <w:pPr>
        <w:adjustRightInd w:val="0"/>
        <w:snapToGrid w:val="0"/>
        <w:spacing w:line="276" w:lineRule="auto"/>
        <w:ind w:firstLine="422"/>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第五条  付款及结算方式</w:t>
      </w:r>
    </w:p>
    <w:p w14:paraId="25F8B34B">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eastAsia="宋体"/>
          <w:sz w:val="21"/>
          <w:szCs w:val="21"/>
          <w:highlight w:val="none"/>
        </w:rPr>
        <w:t>本合同甲方</w:t>
      </w:r>
      <w:r>
        <w:rPr>
          <w:rFonts w:hint="eastAsia" w:ascii="宋体" w:hAnsi="宋体" w:eastAsia="宋体"/>
          <w:sz w:val="21"/>
          <w:szCs w:val="21"/>
          <w:highlight w:val="none"/>
          <w:lang w:val="en-US" w:eastAsia="zh-CN"/>
        </w:rPr>
        <w:t>暂定</w:t>
      </w:r>
      <w:r>
        <w:rPr>
          <w:rFonts w:hint="eastAsia" w:ascii="宋体" w:hAnsi="宋体" w:eastAsia="宋体"/>
          <w:sz w:val="21"/>
          <w:szCs w:val="21"/>
          <w:highlight w:val="none"/>
        </w:rPr>
        <w:t>向乙方出售强风化层剥离物</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万吨，每吨单价为￥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w:t>
      </w:r>
      <w:r>
        <w:rPr>
          <w:rFonts w:hint="eastAsia" w:ascii="宋体" w:hAnsi="宋体" w:eastAsia="宋体"/>
          <w:sz w:val="21"/>
          <w:szCs w:val="21"/>
          <w:highlight w:val="none"/>
          <w:u w:val="single"/>
        </w:rPr>
        <w:t xml:space="preserve">人民币          </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元，增值税税额</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w:t>
      </w:r>
    </w:p>
    <w:p w14:paraId="24E3432C">
      <w:pPr>
        <w:adjustRightInd w:val="0"/>
        <w:snapToGrid w:val="0"/>
        <w:spacing w:line="276" w:lineRule="auto"/>
        <w:ind w:firstLine="420"/>
        <w:rPr>
          <w:rFonts w:hint="default" w:ascii="宋体" w:hAnsi="宋体" w:eastAsia="宋体"/>
          <w:sz w:val="21"/>
          <w:szCs w:val="21"/>
          <w:highlight w:val="none"/>
          <w:lang w:val="en-US" w:eastAsia="zh-CN"/>
        </w:rPr>
      </w:pPr>
      <w:r>
        <w:rPr>
          <w:rFonts w:hint="eastAsia" w:ascii="宋体" w:hAnsi="宋体" w:eastAsia="宋体"/>
          <w:sz w:val="21"/>
          <w:szCs w:val="21"/>
          <w:highlight w:val="none"/>
        </w:rPr>
        <w:t>2、</w:t>
      </w:r>
      <w:r>
        <w:rPr>
          <w:rFonts w:hint="eastAsia" w:ascii="宋体" w:hAnsi="宋体" w:eastAsia="宋体"/>
          <w:sz w:val="21"/>
          <w:szCs w:val="21"/>
          <w:highlight w:val="none"/>
        </w:rPr>
        <w:t>本合同甲方</w:t>
      </w:r>
      <w:r>
        <w:rPr>
          <w:rFonts w:hint="eastAsia" w:ascii="宋体" w:hAnsi="宋体" w:eastAsia="宋体"/>
          <w:sz w:val="21"/>
          <w:szCs w:val="21"/>
          <w:highlight w:val="none"/>
          <w:lang w:val="en-US" w:eastAsia="zh-CN"/>
        </w:rPr>
        <w:t>暂定</w:t>
      </w:r>
      <w:r>
        <w:rPr>
          <w:rFonts w:hint="eastAsia" w:ascii="宋体" w:hAnsi="宋体" w:eastAsia="宋体"/>
          <w:sz w:val="21"/>
          <w:szCs w:val="21"/>
          <w:highlight w:val="none"/>
        </w:rPr>
        <w:t>向乙方出售剥离土</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万吨（与强风化剥离物等量），每吨单价为￥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1,500,000.00</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w:t>
      </w:r>
      <w:r>
        <w:rPr>
          <w:rFonts w:hint="eastAsia" w:ascii="宋体" w:hAnsi="宋体" w:eastAsia="宋体"/>
          <w:sz w:val="21"/>
          <w:szCs w:val="21"/>
          <w:highlight w:val="none"/>
          <w:u w:val="single"/>
        </w:rPr>
        <w:t>人民币</w:t>
      </w:r>
      <w:r>
        <w:rPr>
          <w:rFonts w:hint="eastAsia" w:ascii="宋体" w:hAnsi="宋体" w:eastAsia="宋体"/>
          <w:sz w:val="21"/>
          <w:szCs w:val="21"/>
          <w:highlight w:val="none"/>
          <w:u w:val="single"/>
          <w:lang w:val="en-US" w:eastAsia="zh-CN"/>
        </w:rPr>
        <w:t>壹佰伍拾万元整</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元，增值税税额￥</w:t>
      </w:r>
      <w:r>
        <w:rPr>
          <w:rFonts w:hint="eastAsia" w:ascii="宋体" w:hAnsi="宋体" w:eastAsia="宋体"/>
          <w:sz w:val="21"/>
          <w:szCs w:val="21"/>
          <w:highlight w:val="none"/>
          <w:u w:val="single"/>
        </w:rPr>
        <w:t xml:space="preserve"> 43,689.32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大写：</w:t>
      </w:r>
      <w:r>
        <w:rPr>
          <w:rFonts w:hint="eastAsia" w:ascii="宋体" w:hAnsi="宋体" w:eastAsia="宋体"/>
          <w:sz w:val="21"/>
          <w:szCs w:val="21"/>
          <w:highlight w:val="none"/>
          <w:u w:val="single"/>
          <w:lang w:val="en-US" w:eastAsia="zh-CN"/>
        </w:rPr>
        <w:t>人民币肆万叁仟陆佰捌拾玖元叁角贰分</w:t>
      </w:r>
      <w:r>
        <w:rPr>
          <w:rFonts w:hint="eastAsia" w:ascii="宋体" w:hAnsi="宋体" w:eastAsia="宋体"/>
          <w:sz w:val="21"/>
          <w:szCs w:val="21"/>
          <w:highlight w:val="none"/>
          <w:lang w:eastAsia="zh-CN"/>
        </w:rPr>
        <w:t>）</w:t>
      </w: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剥离土出售量以甲方施工进度为准，最高不超过本合同暂定量。</w:t>
      </w:r>
    </w:p>
    <w:p w14:paraId="68E9A555">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乙方向甲方预付货款，甲方在确认货款到账后，根据实际情况安排发货，发货价值不超过预付款金额。否则，甲方有权拒绝发货并不承担任何责任。</w:t>
      </w:r>
    </w:p>
    <w:p w14:paraId="730DC2BE">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3、本合同约定预付货款为￥</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3</w:t>
      </w:r>
      <w:r>
        <w:rPr>
          <w:rFonts w:hint="eastAsia" w:ascii="宋体" w:hAnsi="宋体" w:eastAsia="宋体"/>
          <w:sz w:val="21"/>
          <w:szCs w:val="21"/>
          <w:highlight w:val="none"/>
          <w:u w:val="single"/>
        </w:rPr>
        <w:t xml:space="preserve">,000,000.00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u w:val="single"/>
          <w:lang w:val="en-US" w:eastAsia="zh-CN"/>
        </w:rPr>
        <w:t>叁</w:t>
      </w:r>
      <w:r>
        <w:rPr>
          <w:rFonts w:hint="eastAsia" w:ascii="宋体" w:hAnsi="宋体" w:eastAsia="宋体"/>
          <w:sz w:val="21"/>
          <w:szCs w:val="21"/>
          <w:highlight w:val="none"/>
          <w:u w:val="single"/>
        </w:rPr>
        <w:t xml:space="preserve">佰万元整 </w:t>
      </w:r>
      <w:r>
        <w:rPr>
          <w:rFonts w:hint="eastAsia" w:ascii="宋体" w:hAnsi="宋体" w:eastAsia="宋体"/>
          <w:sz w:val="21"/>
          <w:szCs w:val="21"/>
          <w:highlight w:val="none"/>
        </w:rPr>
        <w:t>），成交确认后5个工作日内签订本合同并支付剩余预付款项。</w:t>
      </w:r>
    </w:p>
    <w:p w14:paraId="5ECC5006">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4、合同期间，双方采用以下方式进行结算：</w:t>
      </w:r>
    </w:p>
    <w:p w14:paraId="0524D707">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每月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日为结算截止日，即本月</w:t>
      </w:r>
      <w:r>
        <w:rPr>
          <w:rFonts w:hint="eastAsia" w:ascii="宋体" w:hAnsi="宋体" w:eastAsia="宋体"/>
          <w:sz w:val="21"/>
          <w:szCs w:val="21"/>
          <w:highlight w:val="none"/>
          <w:u w:val="single"/>
        </w:rPr>
        <w:t xml:space="preserve"> 1 </w:t>
      </w:r>
      <w:r>
        <w:rPr>
          <w:rFonts w:hint="eastAsia" w:ascii="宋体" w:hAnsi="宋体" w:eastAsia="宋体"/>
          <w:sz w:val="21"/>
          <w:szCs w:val="21"/>
          <w:highlight w:val="none"/>
        </w:rPr>
        <w:t>日至本月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日为一个结算周期，次月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10</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日前双方核对甲方系统出具的对账单完成上一结算周期内实际交易的数量及金额的结算。</w:t>
      </w:r>
    </w:p>
    <w:p w14:paraId="3AEF433E">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5、当剩余预付货款金额低于</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0万元且已提货量未达到锁定产品量，乙方明确需续约继续提货时，乙方需补充预付货款50万元，合同继续履行。若乙方预付款金额低于10万元，甲方停止供货。甲方通知乙方，且在通知之日起7个日历天内未补充预付款，本合同终止。剩余预付金额甲方于30个日历天内无息退还。</w:t>
      </w:r>
    </w:p>
    <w:p w14:paraId="73666C80">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6、合同履行完毕后，若乙方预付款仍有剩余且不再继续续约，甲方于最终结算完毕后30日内无息退还。</w:t>
      </w:r>
    </w:p>
    <w:p w14:paraId="20A7E036">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7、乙方使用银行转账方式预付货款：</w:t>
      </w:r>
    </w:p>
    <w:p w14:paraId="73E064AD">
      <w:pPr>
        <w:pStyle w:val="2"/>
        <w:rPr>
          <w:rFonts w:hint="eastAsia" w:hAnsi="宋体" w:eastAsia="宋体"/>
          <w:sz w:val="21"/>
          <w:szCs w:val="21"/>
          <w:highlight w:val="none"/>
        </w:rPr>
      </w:pPr>
      <w:r>
        <w:rPr>
          <w:rFonts w:hint="eastAsia" w:hAnsi="宋体" w:eastAsia="宋体"/>
          <w:sz w:val="21"/>
          <w:szCs w:val="21"/>
          <w:highlight w:val="none"/>
        </w:rPr>
        <w:t>甲方指定收款账户：</w:t>
      </w:r>
    </w:p>
    <w:p w14:paraId="40FEA199">
      <w:pPr>
        <w:pStyle w:val="2"/>
        <w:rPr>
          <w:rFonts w:hint="eastAsia" w:hAnsi="宋体" w:eastAsia="宋体"/>
          <w:sz w:val="21"/>
          <w:szCs w:val="21"/>
          <w:highlight w:val="none"/>
        </w:rPr>
      </w:pPr>
      <w:r>
        <w:rPr>
          <w:rFonts w:hint="eastAsia" w:hAnsi="宋体" w:eastAsia="宋体"/>
          <w:sz w:val="21"/>
          <w:szCs w:val="21"/>
          <w:highlight w:val="none"/>
        </w:rPr>
        <w:t>开户行：</w:t>
      </w:r>
    </w:p>
    <w:p w14:paraId="6BFBFCD3">
      <w:pPr>
        <w:pStyle w:val="2"/>
        <w:rPr>
          <w:rFonts w:hint="eastAsia" w:hAnsi="宋体" w:eastAsia="宋体"/>
          <w:sz w:val="21"/>
          <w:szCs w:val="21"/>
          <w:highlight w:val="none"/>
        </w:rPr>
      </w:pPr>
      <w:r>
        <w:rPr>
          <w:rFonts w:hint="eastAsia" w:hAnsi="宋体" w:eastAsia="宋体"/>
          <w:sz w:val="21"/>
          <w:szCs w:val="21"/>
          <w:highlight w:val="none"/>
        </w:rPr>
        <w:t>户名：</w:t>
      </w:r>
    </w:p>
    <w:p w14:paraId="1ED356CD">
      <w:pPr>
        <w:pStyle w:val="2"/>
        <w:rPr>
          <w:rFonts w:hint="eastAsia" w:hAnsi="宋体" w:eastAsia="宋体"/>
          <w:sz w:val="21"/>
          <w:szCs w:val="21"/>
          <w:highlight w:val="none"/>
        </w:rPr>
      </w:pPr>
      <w:r>
        <w:rPr>
          <w:rFonts w:hint="eastAsia" w:hAnsi="宋体" w:eastAsia="宋体"/>
          <w:sz w:val="21"/>
          <w:szCs w:val="21"/>
          <w:highlight w:val="none"/>
        </w:rPr>
        <w:t>账号：</w:t>
      </w:r>
    </w:p>
    <w:p w14:paraId="261B2EF9">
      <w:pPr>
        <w:adjustRightInd w:val="0"/>
        <w:snapToGrid w:val="0"/>
        <w:spacing w:line="276" w:lineRule="auto"/>
        <w:ind w:firstLine="420"/>
        <w:rPr>
          <w:rFonts w:hint="eastAsia" w:ascii="宋体" w:hAnsi="宋体" w:eastAsia="宋体"/>
          <w:color w:val="FF0000"/>
          <w:sz w:val="21"/>
          <w:szCs w:val="21"/>
          <w:highlight w:val="none"/>
        </w:rPr>
      </w:pPr>
      <w:r>
        <w:rPr>
          <w:rFonts w:hint="eastAsia" w:ascii="宋体" w:hAnsi="宋体" w:eastAsia="宋体"/>
          <w:sz w:val="21"/>
          <w:szCs w:val="21"/>
          <w:highlight w:val="none"/>
        </w:rPr>
        <w:t>甲方指定该账户收取货款，若乙方委托第三方付款或接受第三方代其付款，则须向甲方提供由付款委托、受托双方共同签字盖章确认的书面委托证明。</w:t>
      </w:r>
    </w:p>
    <w:p w14:paraId="661C3BFC">
      <w:pPr>
        <w:adjustRightInd w:val="0"/>
        <w:snapToGrid w:val="0"/>
        <w:spacing w:line="276" w:lineRule="auto"/>
        <w:ind w:firstLine="420"/>
        <w:jc w:val="left"/>
        <w:rPr>
          <w:rFonts w:hint="eastAsia" w:ascii="宋体" w:hAnsi="宋体" w:eastAsia="宋体"/>
          <w:sz w:val="21"/>
          <w:szCs w:val="21"/>
          <w:highlight w:val="none"/>
        </w:rPr>
      </w:pPr>
      <w:r>
        <w:rPr>
          <w:rFonts w:hint="eastAsia" w:ascii="宋体" w:hAnsi="宋体" w:eastAsia="宋体"/>
          <w:sz w:val="21"/>
          <w:szCs w:val="21"/>
          <w:highlight w:val="none"/>
        </w:rPr>
        <w:t>8、关于发票</w:t>
      </w:r>
    </w:p>
    <w:p w14:paraId="70EC16BB">
      <w:pPr>
        <w:widowControl/>
        <w:spacing w:line="276" w:lineRule="auto"/>
        <w:ind w:firstLine="42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甲方按结算价向乙方提供剥离物产品</w:t>
      </w:r>
      <w:r>
        <w:rPr>
          <w:rFonts w:ascii="宋体" w:hAnsi="宋体" w:eastAsia="宋体" w:cs="宋体"/>
          <w:b/>
          <w:bCs/>
          <w:sz w:val="21"/>
          <w:szCs w:val="21"/>
          <w:highlight w:val="none"/>
          <w:u w:val="single"/>
        </w:rPr>
        <w:t>3</w:t>
      </w:r>
      <w:r>
        <w:rPr>
          <w:rFonts w:ascii="宋体" w:hAnsi="宋体" w:eastAsia="宋体" w:cs="宋体"/>
          <w:b/>
          <w:bCs/>
          <w:sz w:val="21"/>
          <w:szCs w:val="21"/>
          <w:highlight w:val="none"/>
        </w:rPr>
        <w:t>%</w:t>
      </w:r>
      <w:r>
        <w:rPr>
          <w:rFonts w:ascii="宋体" w:hAnsi="宋体" w:eastAsia="宋体" w:cs="宋体"/>
          <w:sz w:val="21"/>
          <w:szCs w:val="21"/>
          <w:highlight w:val="none"/>
        </w:rPr>
        <w:t>增值税专用/普通（二选一）</w:t>
      </w:r>
      <w:r>
        <w:rPr>
          <w:rFonts w:hint="eastAsia" w:ascii="宋体" w:hAnsi="宋体" w:eastAsia="宋体" w:cs="宋体"/>
          <w:sz w:val="21"/>
          <w:szCs w:val="21"/>
          <w:highlight w:val="none"/>
        </w:rPr>
        <w:t>发票，乙方开具发票的要求应在提货之日起的三个月内提出，避免延迟。</w:t>
      </w:r>
      <w:r>
        <w:rPr>
          <w:rFonts w:ascii="宋体" w:hAnsi="宋体" w:eastAsia="宋体" w:cs="宋体"/>
          <w:sz w:val="21"/>
          <w:szCs w:val="21"/>
          <w:highlight w:val="none"/>
        </w:rPr>
        <w:t>在合同履行过程中，如国家增值税税率政策发生变化的，则按照新的政策执行。</w:t>
      </w:r>
    </w:p>
    <w:p w14:paraId="63F4F7EB">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若乙方要求开具剥离物产品增值税专用发票，则须向甲方提供加盖单位公章含有以下信息的开票资料：乙方名称、纳税人识别号或统一社会信用代码、地址、电话、开户行及账号信息。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highlight w:val="none"/>
        </w:rPr>
        <w:t>（开具专票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62D73BA6">
      <w:pPr>
        <w:adjustRightInd w:val="0"/>
        <w:snapToGrid w:val="0"/>
        <w:spacing w:line="276" w:lineRule="auto"/>
        <w:ind w:firstLine="420"/>
        <w:rPr>
          <w:rFonts w:hint="eastAsia" w:ascii="宋体" w:hAnsi="宋体" w:eastAsia="宋体"/>
          <w:b/>
          <w:sz w:val="21"/>
          <w:szCs w:val="21"/>
          <w:highlight w:val="none"/>
        </w:rPr>
      </w:pPr>
      <w:r>
        <w:rPr>
          <w:rFonts w:hint="eastAsia" w:ascii="宋体" w:hAnsi="宋体" w:eastAsia="宋体"/>
          <w:sz w:val="21"/>
          <w:szCs w:val="21"/>
          <w:highlight w:val="none"/>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highlight w:val="none"/>
        </w:rPr>
        <w:t>（开具普票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2AA7D1AD">
      <w:pPr>
        <w:adjustRightInd w:val="0"/>
        <w:snapToGrid w:val="0"/>
        <w:spacing w:line="276" w:lineRule="auto"/>
        <w:ind w:firstLine="422"/>
        <w:rPr>
          <w:rFonts w:hint="eastAsia" w:ascii="宋体" w:hAnsi="宋体" w:eastAsia="宋体"/>
          <w:b/>
          <w:sz w:val="21"/>
          <w:szCs w:val="21"/>
          <w:highlight w:val="none"/>
        </w:rPr>
      </w:pPr>
      <w:r>
        <w:rPr>
          <w:rFonts w:hint="eastAsia" w:ascii="宋体" w:hAnsi="宋体" w:eastAsia="宋体"/>
          <w:b/>
          <w:sz w:val="21"/>
          <w:szCs w:val="21"/>
          <w:highlight w:val="none"/>
        </w:rPr>
        <w:t>第六条、双方权利义务</w:t>
      </w:r>
    </w:p>
    <w:p w14:paraId="588A7B1A">
      <w:pPr>
        <w:pStyle w:val="11"/>
        <w:numPr>
          <w:ilvl w:val="0"/>
          <w:numId w:val="1"/>
        </w:numPr>
        <w:spacing w:line="276" w:lineRule="auto"/>
        <w:ind w:firstLineChars="0"/>
        <w:rPr>
          <w:rFonts w:ascii="宋体" w:hAnsi="宋体" w:eastAsia="宋体"/>
          <w:sz w:val="21"/>
          <w:szCs w:val="21"/>
          <w:highlight w:val="none"/>
        </w:rPr>
      </w:pPr>
      <w:r>
        <w:rPr>
          <w:rFonts w:hint="eastAsia" w:ascii="宋体" w:hAnsi="宋体" w:eastAsia="宋体"/>
          <w:sz w:val="21"/>
          <w:szCs w:val="21"/>
          <w:highlight w:val="none"/>
        </w:rPr>
        <w:t>甲方的权利与义务</w:t>
      </w:r>
    </w:p>
    <w:p w14:paraId="4844666D">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（1）甲方有权对乙方运输工作情况进行监督管理，并签收相应的单据；</w:t>
      </w:r>
    </w:p>
    <w:p w14:paraId="1639A08B">
      <w:pPr>
        <w:spacing w:line="276" w:lineRule="auto"/>
        <w:ind w:firstLine="420"/>
        <w:rPr>
          <w:rFonts w:hint="eastAsia" w:ascii="宋体" w:hAnsi="宋体" w:eastAsia="宋体"/>
          <w:sz w:val="21"/>
          <w:szCs w:val="21"/>
          <w:highlight w:val="none"/>
          <w:lang w:eastAsia="zh-CN"/>
        </w:rPr>
      </w:pPr>
      <w:r>
        <w:rPr>
          <w:rFonts w:hint="eastAsia" w:ascii="宋体" w:hAnsi="宋体" w:eastAsia="宋体"/>
          <w:sz w:val="21"/>
          <w:szCs w:val="21"/>
          <w:highlight w:val="none"/>
        </w:rPr>
        <w:t>（2）甲方负责剥离物的钻爆挖装等工作并将货物装载至乙方提货车辆（场内）</w:t>
      </w:r>
      <w:r>
        <w:rPr>
          <w:rFonts w:hint="eastAsia" w:ascii="宋体" w:hAnsi="宋体" w:eastAsia="宋体"/>
          <w:sz w:val="21"/>
          <w:szCs w:val="21"/>
          <w:highlight w:val="none"/>
          <w:lang w:eastAsia="zh-CN"/>
        </w:rPr>
        <w:t>；</w:t>
      </w:r>
    </w:p>
    <w:p w14:paraId="3AA11973">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甲方有权根据现场工程进度动态调整货物种类，并保障合同履约完毕结算时剥离土销售总量不超过强风化层销售总量</w:t>
      </w:r>
      <w:r>
        <w:rPr>
          <w:rFonts w:hint="eastAsia" w:ascii="宋体" w:hAnsi="宋体" w:eastAsia="宋体"/>
          <w:sz w:val="21"/>
          <w:szCs w:val="21"/>
          <w:highlight w:val="none"/>
        </w:rPr>
        <w:t>。</w:t>
      </w:r>
    </w:p>
    <w:p w14:paraId="2DC5EE2A">
      <w:pPr>
        <w:spacing w:line="276" w:lineRule="auto"/>
        <w:ind w:firstLine="420"/>
        <w:rPr>
          <w:rFonts w:hint="default" w:eastAsia="宋体"/>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在强风化层与剥离土提货重量明显失衡时，甲方有权拒绝为乙方装载相应货品，直至不同种类货品提货比例相对平衡。</w:t>
      </w:r>
    </w:p>
    <w:p w14:paraId="03B98DAE">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2、乙方的权力与义务</w:t>
      </w:r>
    </w:p>
    <w:p w14:paraId="2AE464B8">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（1）剥离物资源存有不可预见的自然因素变化、政策法规变化等风险，乙方须自行承担风险所带来的损失；</w:t>
      </w:r>
    </w:p>
    <w:p w14:paraId="1FCD7704">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应认真了解相关情况，阅读相关资料，并到剥离物资源现场实地踏勘，充分评估投资风险，本合同签订后视为对本次剥离物资源销售无异议，不得以剥离物资源运输条件差、发生不可抗力等为由向甲方提出退款、索赔；</w:t>
      </w:r>
    </w:p>
    <w:p w14:paraId="0FADE2AE">
      <w:pPr>
        <w:spacing w:line="276" w:lineRule="auto"/>
        <w:ind w:firstLine="420"/>
        <w:rPr>
          <w:rFonts w:hint="default" w:ascii="宋体" w:hAnsi="宋体" w:eastAsia="宋体"/>
          <w:sz w:val="21"/>
          <w:szCs w:val="21"/>
          <w:highlight w:val="none"/>
          <w:lang w:val="en-US" w:eastAsia="zh-CN"/>
        </w:rPr>
      </w:pPr>
      <w:r>
        <w:rPr>
          <w:rFonts w:hint="eastAsia" w:ascii="宋体" w:hAnsi="宋体" w:eastAsia="宋体"/>
          <w:sz w:val="21"/>
          <w:szCs w:val="21"/>
          <w:highlight w:val="none"/>
        </w:rPr>
        <w:t>（3）</w:t>
      </w:r>
      <w:r>
        <w:rPr>
          <w:rFonts w:hint="eastAsia" w:ascii="宋体" w:hAnsi="宋体" w:eastAsia="宋体"/>
          <w:sz w:val="21"/>
          <w:szCs w:val="21"/>
          <w:highlight w:val="none"/>
          <w:lang w:val="en-US" w:eastAsia="zh-CN"/>
        </w:rPr>
        <w:t>乙方应根据甲方安排及时提货，不得无故拒绝或调整提货计划。在强风化层与剥离土提货比例失衡时，应根据甲方进度安排及时平衡提货比例。</w:t>
      </w:r>
    </w:p>
    <w:p w14:paraId="35D632E0">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w:t>
      </w:r>
      <w:r>
        <w:rPr>
          <w:rFonts w:hint="eastAsia" w:ascii="宋体" w:hAnsi="宋体" w:eastAsia="宋体"/>
          <w:sz w:val="21"/>
          <w:szCs w:val="21"/>
          <w:highlight w:val="none"/>
        </w:rPr>
        <w:t>乙方应保证在剥离物资源进行运输过程中一切人员、财产安全，如发生安全事故等，由乙方承担全部的损失及赔偿责任，与甲方无关，造成刑事责任的追究乙方相关人员责任。如因乙方原因造成安全事故，并且因此造成甲方损失的，应承担赔偿责任；</w:t>
      </w:r>
    </w:p>
    <w:p w14:paraId="6B95B584">
      <w:pPr>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乙方应向甲方提供符合运营要求的运输车辆及司机身份信息资料进行备案，乙方不得擅自更换备案后的运输车辆及司机，如需更换的，应经甲方同意并重新提交更换后的运输车辆或司机信息资料进行备案。乙方未经甲方允许擅自更换运输车辆或司机，并因此造成甲方损失的，由乙方承担赔偿责任。</w:t>
      </w:r>
    </w:p>
    <w:p w14:paraId="7BD4B782">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第七条  所有权及风险转移</w:t>
      </w:r>
    </w:p>
    <w:p w14:paraId="3C3A98A7">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1、产品的所有权自甲方交付乙方且乙方已付清货款时转移。</w:t>
      </w:r>
    </w:p>
    <w:p w14:paraId="4EF06171">
      <w:pPr>
        <w:adjustRightInd w:val="0"/>
        <w:snapToGrid w:val="0"/>
        <w:spacing w:line="276" w:lineRule="auto"/>
        <w:ind w:left="420" w:firstLine="0" w:firstLineChars="0"/>
        <w:rPr>
          <w:rFonts w:hint="eastAsia" w:ascii="宋体" w:hAnsi="宋体" w:eastAsia="宋体"/>
          <w:sz w:val="21"/>
          <w:szCs w:val="21"/>
          <w:highlight w:val="none"/>
        </w:rPr>
      </w:pPr>
      <w:r>
        <w:rPr>
          <w:rFonts w:hint="eastAsia" w:ascii="宋体" w:hAnsi="宋体" w:eastAsia="宋体"/>
          <w:sz w:val="21"/>
          <w:szCs w:val="21"/>
          <w:highlight w:val="none"/>
        </w:rPr>
        <w:t>2、产品的毁损、灭失风险自甲方交付给乙方时发生转移。</w:t>
      </w:r>
    </w:p>
    <w:p w14:paraId="3A492A9E">
      <w:pPr>
        <w:adjustRightInd w:val="0"/>
        <w:snapToGrid w:val="0"/>
        <w:spacing w:line="276" w:lineRule="auto"/>
        <w:ind w:firstLine="0" w:firstLineChars="0"/>
        <w:rPr>
          <w:rFonts w:hint="eastAsia" w:ascii="宋体" w:hAnsi="宋体" w:eastAsia="宋体"/>
          <w:b/>
          <w:sz w:val="21"/>
          <w:szCs w:val="21"/>
          <w:highlight w:val="none"/>
        </w:rPr>
      </w:pPr>
      <w:r>
        <w:rPr>
          <w:rFonts w:hint="eastAsia" w:ascii="宋体" w:hAnsi="宋体" w:eastAsia="宋体"/>
          <w:sz w:val="21"/>
          <w:szCs w:val="21"/>
          <w:highlight w:val="none"/>
        </w:rPr>
        <w:t xml:space="preserve">    </w:t>
      </w:r>
      <w:r>
        <w:rPr>
          <w:rFonts w:hint="eastAsia" w:ascii="宋体" w:hAnsi="宋体" w:eastAsia="宋体"/>
          <w:b/>
          <w:sz w:val="21"/>
          <w:szCs w:val="21"/>
          <w:highlight w:val="none"/>
        </w:rPr>
        <w:t>第八条  合同的变更</w:t>
      </w:r>
    </w:p>
    <w:p w14:paraId="60D2035D">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1、除本合同另有约定外本合同下的任何条款变更或补充,须由甲、乙双方协商解决并签订书面补充协议，补充协议与本合同具有同等法律效力。</w:t>
      </w:r>
    </w:p>
    <w:p w14:paraId="6DC76DB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2、合同期间，提货量未达</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万吨（含</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万吨）时，强风化层单价不进行调整。</w:t>
      </w:r>
    </w:p>
    <w:p w14:paraId="25C0A5EA">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3、合同约定</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万吨强风化层完成交付后，甲方</w:t>
      </w:r>
      <w:r>
        <w:rPr>
          <w:rFonts w:hint="eastAsia" w:ascii="宋体" w:hAnsi="宋体" w:eastAsia="宋体"/>
          <w:sz w:val="21"/>
          <w:szCs w:val="21"/>
          <w:highlight w:val="none"/>
          <w:lang w:val="en-US" w:eastAsia="zh-CN"/>
        </w:rPr>
        <w:t>可</w:t>
      </w:r>
      <w:r>
        <w:rPr>
          <w:rFonts w:hint="eastAsia" w:ascii="宋体" w:hAnsi="宋体" w:eastAsia="宋体"/>
          <w:sz w:val="21"/>
          <w:szCs w:val="21"/>
          <w:highlight w:val="none"/>
        </w:rPr>
        <w:t>根据当期市场价格对强风化单价进行调整，并按合同第九条约定形式告知乙方，乙方需回复进行确认。如乙方接受单价调整，合同继续延续，预付款合同第五条约定执行；如乙方对调整后的单价不予认可，本合同终止。</w:t>
      </w:r>
    </w:p>
    <w:p w14:paraId="4FD5926E">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4、合同</w:t>
      </w:r>
      <w:r>
        <w:rPr>
          <w:rFonts w:hint="eastAsia" w:ascii="宋体" w:hAnsi="宋体" w:eastAsia="宋体"/>
          <w:sz w:val="21"/>
          <w:szCs w:val="21"/>
          <w:highlight w:val="none"/>
          <w:lang w:val="en-US" w:eastAsia="zh-CN"/>
        </w:rPr>
        <w:t>约定的强风化层不调价</w:t>
      </w:r>
      <w:r>
        <w:rPr>
          <w:rFonts w:hint="eastAsia" w:ascii="宋体" w:hAnsi="宋体" w:eastAsia="宋体"/>
          <w:sz w:val="21"/>
          <w:szCs w:val="21"/>
          <w:highlight w:val="none"/>
        </w:rPr>
        <w:t>期间剥离土的单价不进行调整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强风化层价格调整时，甲方可根据当期市场价格同步对剥离土进行价格调整</w:t>
      </w:r>
      <w:r>
        <w:rPr>
          <w:rFonts w:hint="eastAsia" w:ascii="宋体" w:hAnsi="宋体" w:eastAsia="宋体"/>
          <w:sz w:val="21"/>
          <w:szCs w:val="21"/>
          <w:highlight w:val="none"/>
        </w:rPr>
        <w:t>。</w:t>
      </w:r>
    </w:p>
    <w:p w14:paraId="33A31727">
      <w:pPr>
        <w:adjustRightInd w:val="0"/>
        <w:snapToGrid w:val="0"/>
        <w:spacing w:line="276" w:lineRule="auto"/>
        <w:ind w:firstLine="413" w:firstLineChars="196"/>
        <w:rPr>
          <w:rFonts w:hint="eastAsia" w:ascii="宋体" w:hAnsi="宋体" w:eastAsia="宋体"/>
          <w:b/>
          <w:sz w:val="21"/>
          <w:szCs w:val="21"/>
          <w:highlight w:val="none"/>
        </w:rPr>
      </w:pPr>
      <w:r>
        <w:rPr>
          <w:rFonts w:hint="eastAsia" w:ascii="宋体" w:hAnsi="宋体" w:eastAsia="宋体"/>
          <w:b/>
          <w:sz w:val="21"/>
          <w:szCs w:val="21"/>
          <w:highlight w:val="none"/>
        </w:rPr>
        <w:t>第九条  通知</w:t>
      </w:r>
    </w:p>
    <w:p w14:paraId="215D180E">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1、本合同履行期间，甲、乙双方所有的通讯联络应以</w:t>
      </w:r>
      <w:r>
        <w:rPr>
          <w:rFonts w:hint="eastAsia" w:ascii="宋体" w:hAnsi="宋体" w:eastAsia="宋体" w:cs="宋体"/>
          <w:sz w:val="21"/>
          <w:szCs w:val="21"/>
          <w:highlight w:val="none"/>
        </w:rPr>
        <w:t>包括</w:t>
      </w:r>
      <w:r>
        <w:rPr>
          <w:rFonts w:hint="eastAsia" w:ascii="宋体" w:hAnsi="宋体" w:eastAsia="宋体"/>
          <w:sz w:val="21"/>
          <w:szCs w:val="21"/>
          <w:highlight w:val="none"/>
          <w:lang w:val="en-GB"/>
        </w:rPr>
        <w:t>电话/</w:t>
      </w:r>
      <w:r>
        <w:rPr>
          <w:rFonts w:hint="eastAsia" w:ascii="宋体" w:hAnsi="宋体" w:eastAsia="宋体" w:cs="宋体"/>
          <w:sz w:val="21"/>
          <w:szCs w:val="21"/>
          <w:highlight w:val="none"/>
        </w:rPr>
        <w:t>短信/微信/电子邮件在内的方式进行</w:t>
      </w:r>
      <w:r>
        <w:rPr>
          <w:rFonts w:hint="eastAsia" w:ascii="宋体" w:hAnsi="宋体" w:eastAsia="宋体"/>
          <w:sz w:val="21"/>
          <w:szCs w:val="21"/>
          <w:highlight w:val="none"/>
          <w:lang w:val="en-GB"/>
        </w:rPr>
        <w:t>。</w:t>
      </w:r>
    </w:p>
    <w:p w14:paraId="68CB3F45">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2、任何一方按本合同的规定发出的任何通知或书面通讯，均应以中文书写，并用速递方式迅速发往或寄往对方。</w:t>
      </w:r>
    </w:p>
    <w:p w14:paraId="0F21B955">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lang w:val="en-GB"/>
        </w:rPr>
        <w:t>（1）用电话/</w:t>
      </w:r>
      <w:r>
        <w:rPr>
          <w:rFonts w:hint="eastAsia" w:ascii="宋体" w:hAnsi="宋体" w:eastAsia="宋体" w:cs="宋体"/>
          <w:sz w:val="21"/>
          <w:szCs w:val="21"/>
          <w:highlight w:val="none"/>
        </w:rPr>
        <w:t>短信/微信/电子邮件</w:t>
      </w:r>
      <w:r>
        <w:rPr>
          <w:rFonts w:hint="eastAsia" w:ascii="宋体" w:hAnsi="宋体" w:eastAsia="宋体"/>
          <w:sz w:val="21"/>
          <w:szCs w:val="21"/>
          <w:highlight w:val="none"/>
          <w:lang w:val="en-GB"/>
        </w:rPr>
        <w:t>发出的通知，应在发出通知的3日内</w:t>
      </w:r>
      <w:r>
        <w:rPr>
          <w:rFonts w:hint="eastAsia" w:ascii="宋体" w:hAnsi="宋体" w:eastAsia="宋体"/>
          <w:sz w:val="21"/>
          <w:szCs w:val="21"/>
          <w:highlight w:val="none"/>
        </w:rPr>
        <w:t>补办正式签字及盖章手续的书面通知，并速递给对方；</w:t>
      </w:r>
    </w:p>
    <w:p w14:paraId="7CBDA0C8">
      <w:pPr>
        <w:adjustRightInd w:val="0"/>
        <w:snapToGrid w:val="0"/>
        <w:spacing w:line="276" w:lineRule="auto"/>
        <w:ind w:firstLine="420"/>
        <w:rPr>
          <w:rFonts w:hint="eastAsia" w:ascii="宋体" w:hAnsi="宋体" w:eastAsia="宋体"/>
          <w:sz w:val="21"/>
          <w:szCs w:val="21"/>
          <w:highlight w:val="none"/>
          <w:lang w:val="en-GB"/>
        </w:rPr>
      </w:pPr>
      <w:r>
        <w:rPr>
          <w:rFonts w:hint="eastAsia" w:ascii="宋体" w:hAnsi="宋体" w:eastAsia="宋体"/>
          <w:sz w:val="21"/>
          <w:szCs w:val="21"/>
          <w:highlight w:val="none"/>
          <w:lang w:val="en-GB"/>
        </w:rPr>
        <w:t>（2）用信函发出的通知，则在邮资付讫的挂号信寄出日（以邮戳为凭）后的第5天，或在送交快递服务机构后的第</w:t>
      </w:r>
      <w:r>
        <w:rPr>
          <w:rFonts w:ascii="宋体" w:hAnsi="宋体" w:eastAsia="宋体"/>
          <w:sz w:val="21"/>
          <w:szCs w:val="21"/>
          <w:highlight w:val="none"/>
          <w:lang w:val="en-GB"/>
        </w:rPr>
        <w:t>3</w:t>
      </w:r>
      <w:r>
        <w:rPr>
          <w:rFonts w:hint="eastAsia" w:ascii="宋体" w:hAnsi="宋体" w:eastAsia="宋体"/>
          <w:sz w:val="21"/>
          <w:szCs w:val="21"/>
          <w:highlight w:val="none"/>
          <w:lang w:val="en-GB"/>
        </w:rPr>
        <w:t>天，应视为有效送达；</w:t>
      </w:r>
      <w:r>
        <w:rPr>
          <w:rFonts w:ascii="宋体" w:hAnsi="宋体" w:eastAsia="宋体"/>
          <w:sz w:val="21"/>
          <w:szCs w:val="21"/>
          <w:highlight w:val="none"/>
          <w:lang w:val="en-GB"/>
        </w:rPr>
        <w:t xml:space="preserve"> </w:t>
      </w:r>
    </w:p>
    <w:p w14:paraId="4C137D3B">
      <w:pPr>
        <w:spacing w:line="276" w:lineRule="auto"/>
        <w:ind w:firstLine="420"/>
        <w:rPr>
          <w:rFonts w:hint="eastAsia" w:ascii="宋体" w:hAnsi="宋体" w:eastAsia="宋体"/>
          <w:sz w:val="21"/>
          <w:szCs w:val="21"/>
          <w:highlight w:val="none"/>
          <w:lang w:val="en-GB"/>
        </w:rPr>
      </w:pPr>
      <w:r>
        <w:rPr>
          <w:rFonts w:hint="eastAsia" w:ascii="宋体" w:hAnsi="宋体" w:eastAsia="宋体" w:cs="宋体"/>
          <w:sz w:val="21"/>
          <w:szCs w:val="21"/>
          <w:highlight w:val="none"/>
        </w:rPr>
        <w:t>除甲、乙双方的地址已按照本条的规定书面通知了对方并经对方书面确认的情况，一切通知均须发往甲、乙双方在本合同中载明的地址。</w:t>
      </w:r>
    </w:p>
    <w:p w14:paraId="1627E76A">
      <w:pPr>
        <w:adjustRightInd w:val="0"/>
        <w:snapToGrid w:val="0"/>
        <w:spacing w:line="276" w:lineRule="auto"/>
        <w:ind w:firstLine="413" w:firstLineChars="196"/>
        <w:rPr>
          <w:rFonts w:hint="eastAsia" w:ascii="宋体" w:hAnsi="宋体" w:eastAsia="宋体"/>
          <w:b/>
          <w:sz w:val="21"/>
          <w:szCs w:val="21"/>
          <w:highlight w:val="none"/>
        </w:rPr>
      </w:pPr>
      <w:r>
        <w:rPr>
          <w:rFonts w:hint="eastAsia" w:ascii="宋体" w:hAnsi="宋体" w:eastAsia="宋体"/>
          <w:b/>
          <w:sz w:val="21"/>
          <w:szCs w:val="21"/>
          <w:highlight w:val="none"/>
        </w:rPr>
        <w:t>第十条  违约责任</w:t>
      </w:r>
    </w:p>
    <w:p w14:paraId="74955973">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1、甲方的违约责任</w:t>
      </w:r>
    </w:p>
    <w:p w14:paraId="017C5AA3">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（1）甲方交付的产品品种、规格、质量若有不符合合同约定的，如乙方同意使用的，应按质论价；乙方不能使用的，应视具体情况由甲方负责更换、退货、并承担相应的费用支出。</w:t>
      </w:r>
    </w:p>
    <w:p w14:paraId="104CC4A7">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甲方应根据合同约定向乙方交付剥离层，因甲方工作计划发生变化未能按时足量提供剥离物给乙方的，应提前24小时告知乙方说明缘由，缺量部分由甲乙双方进行协商补足。因甲方原因未提前告知乙方，且月累积供货量未达合同约定第一条最低月供货约定的，甲方应按缺量金额的</w:t>
      </w:r>
      <w:r>
        <w:rPr>
          <w:rFonts w:ascii="宋体" w:hAnsi="宋体" w:eastAsia="宋体"/>
          <w:sz w:val="21"/>
          <w:szCs w:val="21"/>
          <w:highlight w:val="none"/>
        </w:rPr>
        <w:t>10%</w:t>
      </w:r>
      <w:r>
        <w:rPr>
          <w:rFonts w:hint="eastAsia" w:ascii="宋体" w:hAnsi="宋体" w:eastAsia="宋体"/>
          <w:sz w:val="21"/>
          <w:szCs w:val="21"/>
          <w:highlight w:val="none"/>
        </w:rPr>
        <w:t>作为违约金支付给乙方。</w:t>
      </w:r>
    </w:p>
    <w:p w14:paraId="4D82CBA8">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2、乙方的违约责任</w:t>
      </w:r>
    </w:p>
    <w:p w14:paraId="5A4BD7F4">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（1）乙方如错误指示到货地点/收货人，或对甲方订单有任何信息错误的，应当承担因此产生的一切相关损失。</w:t>
      </w:r>
    </w:p>
    <w:p w14:paraId="0FD67099">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（2）</w:t>
      </w:r>
      <w:r>
        <w:rPr>
          <w:rFonts w:ascii="宋体" w:hAnsi="宋体" w:eastAsia="宋体"/>
          <w:sz w:val="21"/>
          <w:szCs w:val="21"/>
          <w:highlight w:val="none"/>
        </w:rPr>
        <w:t>乙方</w:t>
      </w:r>
      <w:r>
        <w:rPr>
          <w:rFonts w:hint="eastAsia" w:ascii="宋体" w:hAnsi="宋体" w:eastAsia="宋体"/>
          <w:sz w:val="21"/>
          <w:szCs w:val="21"/>
          <w:highlight w:val="none"/>
        </w:rPr>
        <w:t>扰乱</w:t>
      </w:r>
      <w:r>
        <w:rPr>
          <w:rFonts w:ascii="宋体" w:hAnsi="宋体" w:eastAsia="宋体"/>
          <w:sz w:val="21"/>
          <w:szCs w:val="21"/>
          <w:highlight w:val="none"/>
        </w:rPr>
        <w:t>甲方</w:t>
      </w:r>
      <w:r>
        <w:rPr>
          <w:rFonts w:hint="eastAsia" w:ascii="宋体" w:hAnsi="宋体" w:eastAsia="宋体"/>
          <w:sz w:val="21"/>
          <w:szCs w:val="21"/>
          <w:highlight w:val="none"/>
        </w:rPr>
        <w:t>生产经营</w:t>
      </w:r>
      <w:r>
        <w:rPr>
          <w:rFonts w:ascii="宋体" w:hAnsi="宋体" w:eastAsia="宋体"/>
          <w:sz w:val="21"/>
          <w:szCs w:val="21"/>
          <w:highlight w:val="none"/>
        </w:rPr>
        <w:t>秩序</w:t>
      </w:r>
      <w:r>
        <w:rPr>
          <w:rFonts w:hint="eastAsia" w:ascii="宋体" w:hAnsi="宋体" w:eastAsia="宋体"/>
          <w:sz w:val="21"/>
          <w:szCs w:val="21"/>
          <w:highlight w:val="none"/>
        </w:rPr>
        <w:t>（包括但不限于乙方阻碍甲方进行任何产品生产、销售或发运）的</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有权</w:t>
      </w:r>
      <w:r>
        <w:rPr>
          <w:rFonts w:hint="eastAsia" w:ascii="宋体" w:hAnsi="宋体" w:eastAsia="宋体"/>
          <w:sz w:val="21"/>
          <w:szCs w:val="21"/>
          <w:highlight w:val="none"/>
        </w:rPr>
        <w:t>按</w:t>
      </w:r>
      <w:r>
        <w:rPr>
          <w:rFonts w:ascii="宋体" w:hAnsi="宋体" w:eastAsia="宋体"/>
          <w:sz w:val="21"/>
          <w:szCs w:val="21"/>
          <w:highlight w:val="none"/>
        </w:rPr>
        <w:t>2</w:t>
      </w:r>
      <w:r>
        <w:rPr>
          <w:rFonts w:hint="eastAsia" w:ascii="宋体" w:hAnsi="宋体" w:eastAsia="宋体"/>
          <w:sz w:val="21"/>
          <w:szCs w:val="21"/>
          <w:highlight w:val="none"/>
        </w:rPr>
        <w:t>万元/次向乙方计收违约金，同时有权终止本合同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p>
    <w:p w14:paraId="25207AD3">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（3）乙方不得有恶意竞争行为，从而恶意低价冲击拉低周边石料市场价格，如有发生，视为乙方违约。甲方</w:t>
      </w:r>
      <w:r>
        <w:rPr>
          <w:rFonts w:ascii="宋体" w:hAnsi="宋体" w:eastAsia="宋体"/>
          <w:sz w:val="21"/>
          <w:szCs w:val="21"/>
          <w:highlight w:val="none"/>
        </w:rPr>
        <w:t>有权</w:t>
      </w:r>
      <w:r>
        <w:rPr>
          <w:rFonts w:hint="eastAsia" w:ascii="宋体" w:hAnsi="宋体" w:eastAsia="宋体"/>
          <w:sz w:val="21"/>
          <w:szCs w:val="21"/>
          <w:highlight w:val="none"/>
        </w:rPr>
        <w:t>无条件终止本合同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r>
        <w:rPr>
          <w:rFonts w:hint="eastAsia" w:ascii="宋体" w:hAnsi="宋体" w:eastAsia="宋体"/>
          <w:sz w:val="21"/>
          <w:szCs w:val="21"/>
          <w:highlight w:val="none"/>
        </w:rPr>
        <w:t>。</w:t>
      </w:r>
    </w:p>
    <w:p w14:paraId="7943F977">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rPr>
        <w:t>（4）甲方有权从乙方的任何一笔预付款或其他款项中直接扣除乙方应付的赔偿金、违约金或滞期费等费用。</w:t>
      </w:r>
    </w:p>
    <w:p w14:paraId="1D6124FC">
      <w:pPr>
        <w:pStyle w:val="2"/>
        <w:rPr>
          <w:rFonts w:hint="eastAsia" w:hAnsi="宋体" w:eastAsia="宋体"/>
          <w:sz w:val="21"/>
          <w:szCs w:val="21"/>
          <w:highlight w:val="none"/>
        </w:rPr>
      </w:pPr>
      <w:r>
        <w:rPr>
          <w:rFonts w:hint="eastAsia" w:hAnsi="宋体" w:eastAsia="宋体"/>
          <w:sz w:val="21"/>
          <w:szCs w:val="21"/>
          <w:highlight w:val="none"/>
        </w:rPr>
        <w:t>（5）乙方拒绝履行合同义务擅自停止向甲方支付货款或提货的，应支付甲方剩余材料货款总金额1</w:t>
      </w:r>
      <w:r>
        <w:rPr>
          <w:rFonts w:hAnsi="宋体" w:eastAsia="宋体"/>
          <w:sz w:val="21"/>
          <w:szCs w:val="21"/>
          <w:highlight w:val="none"/>
        </w:rPr>
        <w:t>0%</w:t>
      </w:r>
      <w:r>
        <w:rPr>
          <w:rFonts w:hint="eastAsia" w:hAnsi="宋体" w:eastAsia="宋体"/>
          <w:sz w:val="21"/>
          <w:szCs w:val="21"/>
          <w:highlight w:val="none"/>
        </w:rPr>
        <w:t>的违约金，并赔偿因此给甲方造成的工期延误损失。</w:t>
      </w:r>
    </w:p>
    <w:p w14:paraId="2B6DA5C8">
      <w:pPr>
        <w:pStyle w:val="2"/>
        <w:rPr>
          <w:rFonts w:hAnsi="宋体" w:eastAsia="宋体"/>
          <w:sz w:val="21"/>
          <w:szCs w:val="21"/>
          <w:highlight w:val="none"/>
        </w:rPr>
      </w:pPr>
      <w:r>
        <w:rPr>
          <w:rFonts w:hint="eastAsia" w:hAnsi="宋体" w:eastAsia="宋体"/>
          <w:sz w:val="21"/>
          <w:szCs w:val="21"/>
          <w:highlight w:val="none"/>
        </w:rPr>
        <w:t>（6）乙方在甲方指定地点提货过程中，乙方工作人员及车辆应严格遵守甲方厂区内的规章制度，由于乙方工作人员、车辆等自身原因导致发生安全生产事故，乙方自行承担因此</w:t>
      </w:r>
      <w:r>
        <w:rPr>
          <w:rFonts w:hint="eastAsia" w:hAnsi="宋体" w:eastAsia="宋体"/>
          <w:sz w:val="21"/>
          <w:szCs w:val="21"/>
          <w:highlight w:val="none"/>
        </w:rPr>
        <w:t>造成的所有损失。如甲方因此承担相应赔偿责任的，乙方应无条件向甲方支付甲方由此承担的全部赔偿金额。</w:t>
      </w:r>
    </w:p>
    <w:p w14:paraId="0D675BD0">
      <w:pPr>
        <w:pStyle w:val="2"/>
        <w:rPr>
          <w:rFonts w:hint="eastAsia" w:hAnsi="宋体" w:eastAsia="宋体"/>
          <w:sz w:val="21"/>
          <w:szCs w:val="21"/>
          <w:highlight w:val="none"/>
        </w:rPr>
      </w:pPr>
      <w:r>
        <w:rPr>
          <w:rFonts w:hint="eastAsia" w:hAnsi="宋体" w:eastAsia="宋体"/>
          <w:sz w:val="21"/>
          <w:szCs w:val="21"/>
          <w:highlight w:val="none"/>
        </w:rPr>
        <w:t>（7）乙方应向甲方提供符合运营要求的运输车辆及司机身份信息资料进行备案，未经备案的运输车辆及司机，不得进行剥离物运输工作。乙方不得擅自更换备案后的运输车辆及司机，如需更换的，应经甲方同意并重新提交更换的运输车辆或司机信息资料进行备案后才能进行运输作业。乙方未经甲方允许擅自更换运输车辆或司机，经发现第一次提出整改要求；第二次发生乙方需支付罚金10000元，甲方将出具整改通知单；再发生第三次的，视为乙方违约，甲方有权依法解除合同，并不退还留存货款，由此造成的全部损失由乙方承担。</w:t>
      </w:r>
    </w:p>
    <w:p w14:paraId="6327A0F3">
      <w:pPr>
        <w:adjustRightInd w:val="0"/>
        <w:snapToGrid w:val="0"/>
        <w:spacing w:line="276" w:lineRule="auto"/>
        <w:ind w:firstLine="413" w:firstLineChars="196"/>
        <w:outlineLvl w:val="0"/>
        <w:rPr>
          <w:rFonts w:hint="eastAsia" w:ascii="宋体" w:hAnsi="宋体" w:eastAsia="宋体"/>
          <w:b/>
          <w:bCs/>
          <w:sz w:val="21"/>
          <w:szCs w:val="21"/>
          <w:highlight w:val="none"/>
        </w:rPr>
      </w:pPr>
      <w:r>
        <w:rPr>
          <w:rFonts w:hint="eastAsia" w:ascii="宋体" w:hAnsi="宋体" w:eastAsia="宋体"/>
          <w:b/>
          <w:bCs/>
          <w:sz w:val="21"/>
          <w:szCs w:val="21"/>
          <w:highlight w:val="none"/>
        </w:rPr>
        <w:t>第十一条  免责条款</w:t>
      </w:r>
    </w:p>
    <w:p w14:paraId="67FEA54A">
      <w:pPr>
        <w:adjustRightInd w:val="0"/>
        <w:snapToGrid w:val="0"/>
        <w:spacing w:line="276" w:lineRule="auto"/>
        <w:ind w:firstLine="411" w:firstLineChars="196"/>
        <w:outlineLvl w:val="0"/>
        <w:rPr>
          <w:rFonts w:hint="eastAsia" w:ascii="宋体" w:hAnsi="宋体" w:eastAsia="宋体"/>
          <w:sz w:val="21"/>
          <w:szCs w:val="21"/>
          <w:highlight w:val="none"/>
        </w:rPr>
      </w:pP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14:paraId="7FC3C8B5">
      <w:pPr>
        <w:adjustRightInd w:val="0"/>
        <w:snapToGrid w:val="0"/>
        <w:spacing w:line="276" w:lineRule="auto"/>
        <w:ind w:firstLine="411" w:firstLineChars="196"/>
        <w:outlineLvl w:val="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2、本合同约定标的物储量为预估储量，实际可能会低于预估储量，结算计量以实际过磅数据为准。如最终结算金额少于已支付的预付款，剩余预付款由甲方无息退回，甲</w:t>
      </w:r>
      <w:bookmarkStart w:id="0" w:name="_GoBack"/>
      <w:bookmarkEnd w:id="0"/>
      <w:r>
        <w:rPr>
          <w:rFonts w:hint="eastAsia" w:ascii="宋体" w:hAnsi="宋体" w:eastAsia="宋体"/>
          <w:sz w:val="21"/>
          <w:szCs w:val="21"/>
          <w:highlight w:val="none"/>
          <w:lang w:val="en-US" w:eastAsia="zh-CN"/>
        </w:rPr>
        <w:t>方无需承担相关违约责任。</w:t>
      </w:r>
    </w:p>
    <w:p w14:paraId="1D0077AF">
      <w:pPr>
        <w:adjustRightInd w:val="0"/>
        <w:snapToGrid w:val="0"/>
        <w:spacing w:line="276" w:lineRule="auto"/>
        <w:ind w:firstLine="411" w:firstLineChars="196"/>
        <w:outlineLvl w:val="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3、乙方需根据甲方工程进度及时增派提货车辆，因车辆增派不及时而导致的提货量减少，相关损失由受让方自行承担。</w:t>
      </w:r>
    </w:p>
    <w:p w14:paraId="75BF04EF">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第十二条  争议解决</w:t>
      </w:r>
    </w:p>
    <w:p w14:paraId="4FBDFE9F">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因本合同所发生的任何争议，由甲、乙双方协商解决；若协商不成，应向甲方所在地有管辖权的人民法院</w:t>
      </w:r>
      <w:r>
        <w:rPr>
          <w:rFonts w:hint="eastAsia" w:ascii="宋体" w:hAnsi="宋体" w:eastAsia="宋体"/>
          <w:sz w:val="22"/>
          <w:szCs w:val="22"/>
          <w:highlight w:val="none"/>
        </w:rPr>
        <w:t>诉讼</w:t>
      </w:r>
      <w:r>
        <w:rPr>
          <w:rFonts w:hint="eastAsia" w:ascii="宋体" w:hAnsi="宋体" w:eastAsia="宋体"/>
          <w:sz w:val="21"/>
          <w:szCs w:val="21"/>
          <w:highlight w:val="none"/>
        </w:rPr>
        <w:t>。</w:t>
      </w:r>
    </w:p>
    <w:p w14:paraId="690FA506">
      <w:pPr>
        <w:adjustRightInd w:val="0"/>
        <w:snapToGrid w:val="0"/>
        <w:spacing w:line="276" w:lineRule="auto"/>
        <w:ind w:firstLine="422"/>
        <w:outlineLvl w:val="0"/>
        <w:rPr>
          <w:rFonts w:hint="eastAsia" w:ascii="宋体" w:hAnsi="宋体" w:eastAsia="宋体"/>
          <w:b/>
          <w:sz w:val="21"/>
          <w:szCs w:val="21"/>
          <w:highlight w:val="none"/>
        </w:rPr>
      </w:pPr>
      <w:r>
        <w:rPr>
          <w:rFonts w:hint="eastAsia" w:ascii="宋体" w:hAnsi="宋体" w:eastAsia="宋体"/>
          <w:b/>
          <w:sz w:val="21"/>
          <w:szCs w:val="21"/>
          <w:highlight w:val="none"/>
        </w:rPr>
        <w:t>第十三条  其他约定事项</w:t>
      </w:r>
    </w:p>
    <w:p w14:paraId="6580CE50">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1、本合同未尽事项，由甲、乙双方协商并签订书面补充合同/协议，补充合同/协议与本合同具有同等效力。</w:t>
      </w:r>
    </w:p>
    <w:p w14:paraId="6A7BEB66">
      <w:pPr>
        <w:adjustRightInd w:val="0"/>
        <w:snapToGrid w:val="0"/>
        <w:spacing w:line="276" w:lineRule="auto"/>
        <w:ind w:firstLine="420"/>
        <w:rPr>
          <w:rFonts w:hint="eastAsia" w:ascii="宋体" w:hAnsi="宋体" w:eastAsia="宋体"/>
          <w:sz w:val="21"/>
          <w:szCs w:val="21"/>
          <w:highlight w:val="none"/>
        </w:rPr>
      </w:pPr>
      <w:r>
        <w:rPr>
          <w:rFonts w:hint="eastAsia" w:ascii="宋体" w:hAnsi="宋体" w:eastAsia="宋体"/>
          <w:sz w:val="21"/>
          <w:szCs w:val="21"/>
          <w:highlight w:val="none"/>
        </w:rPr>
        <w:t>2、本合同壹式肆份，甲方执贰份，乙方执贰份，具有同等法律效力。本合同自甲、乙双方签字并盖公章或合同章后生效。</w:t>
      </w:r>
    </w:p>
    <w:p w14:paraId="447A60C9">
      <w:pPr>
        <w:spacing w:line="276" w:lineRule="auto"/>
        <w:ind w:firstLine="0" w:firstLineChars="0"/>
        <w:rPr>
          <w:rFonts w:hint="eastAsia" w:ascii="宋体" w:hAnsi="宋体" w:eastAsia="宋体"/>
          <w:sz w:val="21"/>
          <w:szCs w:val="21"/>
          <w:highlight w:val="none"/>
        </w:rPr>
      </w:pPr>
    </w:p>
    <w:p w14:paraId="6BE45850">
      <w:pPr>
        <w:spacing w:line="276" w:lineRule="auto"/>
        <w:ind w:firstLine="0" w:firstLineChars="0"/>
        <w:jc w:val="center"/>
        <w:rPr>
          <w:rFonts w:hint="eastAsia" w:ascii="宋体" w:hAnsi="宋体" w:eastAsia="宋体"/>
          <w:sz w:val="21"/>
          <w:szCs w:val="21"/>
          <w:highlight w:val="none"/>
        </w:rPr>
      </w:pPr>
      <w:r>
        <w:rPr>
          <w:rFonts w:hint="eastAsia" w:ascii="宋体" w:hAnsi="宋体" w:eastAsia="宋体"/>
          <w:sz w:val="21"/>
          <w:szCs w:val="21"/>
          <w:highlight w:val="none"/>
        </w:rPr>
        <w:t>（以下无正文）</w:t>
      </w:r>
    </w:p>
    <w:p w14:paraId="69F5DCA8">
      <w:pPr>
        <w:spacing w:line="276" w:lineRule="auto"/>
        <w:ind w:firstLine="0" w:firstLineChars="0"/>
        <w:rPr>
          <w:rFonts w:hint="eastAsia" w:ascii="宋体" w:hAnsi="宋体" w:eastAsia="宋体"/>
          <w:sz w:val="21"/>
          <w:szCs w:val="21"/>
          <w:highlight w:val="none"/>
        </w:rPr>
      </w:pPr>
    </w:p>
    <w:p w14:paraId="25C0BC9F">
      <w:pPr>
        <w:spacing w:line="276" w:lineRule="auto"/>
        <w:ind w:firstLine="0" w:firstLineChars="0"/>
        <w:jc w:val="center"/>
        <w:rPr>
          <w:rFonts w:hint="eastAsia"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（盖章页，无正文）</w:t>
      </w:r>
    </w:p>
    <w:tbl>
      <w:tblPr>
        <w:tblStyle w:val="8"/>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14:paraId="72B8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14:paraId="490BAA3C">
            <w:pPr>
              <w:ind w:firstLine="48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71E0F7EC">
            <w:pPr>
              <w:ind w:firstLine="0" w:firstLineChars="0"/>
              <w:jc w:val="center"/>
              <w:rPr>
                <w:rFonts w:hint="eastAsia" w:ascii="宋体" w:hAnsi="宋体" w:eastAsia="宋体"/>
                <w:b/>
                <w:sz w:val="24"/>
                <w:highlight w:val="none"/>
              </w:rPr>
            </w:pPr>
            <w:r>
              <w:rPr>
                <w:rFonts w:hint="eastAsia" w:ascii="宋体" w:hAnsi="宋体" w:eastAsia="宋体"/>
                <w:b/>
                <w:sz w:val="24"/>
                <w:highlight w:val="none"/>
              </w:rPr>
              <w:t>甲方</w:t>
            </w:r>
          </w:p>
        </w:tc>
        <w:tc>
          <w:tcPr>
            <w:tcW w:w="3827" w:type="dxa"/>
            <w:tcBorders>
              <w:top w:val="single" w:color="auto" w:sz="4" w:space="0"/>
              <w:left w:val="single" w:color="auto" w:sz="4" w:space="0"/>
              <w:bottom w:val="single" w:color="auto" w:sz="4" w:space="0"/>
              <w:right w:val="single" w:color="auto" w:sz="4" w:space="0"/>
            </w:tcBorders>
            <w:vAlign w:val="center"/>
          </w:tcPr>
          <w:p w14:paraId="7F59D0E6">
            <w:pPr>
              <w:ind w:firstLine="0" w:firstLineChars="0"/>
              <w:jc w:val="center"/>
              <w:rPr>
                <w:rFonts w:hint="eastAsia" w:ascii="宋体" w:hAnsi="宋体" w:eastAsia="宋体"/>
                <w:b/>
                <w:sz w:val="24"/>
                <w:highlight w:val="none"/>
              </w:rPr>
            </w:pPr>
            <w:r>
              <w:rPr>
                <w:rFonts w:hint="eastAsia" w:ascii="宋体" w:hAnsi="宋体" w:eastAsia="宋体"/>
                <w:b/>
                <w:sz w:val="24"/>
                <w:highlight w:val="none"/>
              </w:rPr>
              <w:t>乙方</w:t>
            </w:r>
          </w:p>
        </w:tc>
      </w:tr>
      <w:tr w14:paraId="2B6A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3F0C38BE">
            <w:pPr>
              <w:ind w:firstLine="0" w:firstLineChars="0"/>
              <w:jc w:val="center"/>
              <w:rPr>
                <w:rFonts w:hint="eastAsia" w:ascii="宋体" w:hAnsi="宋体" w:eastAsia="宋体"/>
                <w:sz w:val="24"/>
                <w:highlight w:val="none"/>
              </w:rPr>
            </w:pPr>
            <w:r>
              <w:rPr>
                <w:rFonts w:hint="eastAsia" w:ascii="宋体" w:hAnsi="宋体" w:eastAsia="宋体"/>
                <w:sz w:val="24"/>
                <w:highlight w:val="none"/>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14:paraId="4067CB9F">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3A49BB7">
            <w:pPr>
              <w:ind w:firstLine="0" w:firstLineChars="0"/>
              <w:jc w:val="center"/>
              <w:rPr>
                <w:rFonts w:hint="eastAsia" w:ascii="宋体" w:hAnsi="宋体" w:eastAsia="宋体"/>
                <w:sz w:val="24"/>
                <w:highlight w:val="none"/>
              </w:rPr>
            </w:pPr>
          </w:p>
        </w:tc>
      </w:tr>
      <w:tr w14:paraId="6DC0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9F36667">
            <w:pPr>
              <w:ind w:firstLine="0" w:firstLineChars="0"/>
              <w:jc w:val="center"/>
              <w:rPr>
                <w:rFonts w:hint="eastAsia" w:ascii="宋体" w:hAnsi="宋体" w:eastAsia="宋体"/>
                <w:sz w:val="24"/>
                <w:highlight w:val="none"/>
              </w:rPr>
            </w:pPr>
            <w:r>
              <w:rPr>
                <w:rFonts w:hint="eastAsia" w:ascii="宋体" w:hAnsi="宋体" w:eastAsia="宋体"/>
                <w:sz w:val="24"/>
                <w:highlight w:val="none"/>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14:paraId="4915726B">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38259693">
            <w:pPr>
              <w:ind w:firstLine="0" w:firstLineChars="0"/>
              <w:jc w:val="center"/>
              <w:rPr>
                <w:rFonts w:hint="eastAsia" w:ascii="宋体" w:hAnsi="宋体" w:eastAsia="宋体"/>
                <w:sz w:val="24"/>
                <w:highlight w:val="none"/>
              </w:rPr>
            </w:pPr>
          </w:p>
        </w:tc>
      </w:tr>
      <w:tr w14:paraId="227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05D166EC">
            <w:pPr>
              <w:ind w:firstLine="0" w:firstLineChars="0"/>
              <w:jc w:val="center"/>
              <w:rPr>
                <w:rFonts w:hint="eastAsia" w:ascii="宋体" w:hAnsi="宋体" w:eastAsia="宋体"/>
                <w:sz w:val="24"/>
                <w:highlight w:val="none"/>
              </w:rPr>
            </w:pPr>
            <w:r>
              <w:rPr>
                <w:rFonts w:hint="eastAsia" w:ascii="宋体" w:hAnsi="宋体" w:eastAsia="宋体"/>
                <w:sz w:val="24"/>
                <w:highlight w:val="none"/>
              </w:rPr>
              <w:t>电   话</w:t>
            </w:r>
          </w:p>
        </w:tc>
        <w:tc>
          <w:tcPr>
            <w:tcW w:w="3827" w:type="dxa"/>
            <w:tcBorders>
              <w:top w:val="single" w:color="auto" w:sz="4" w:space="0"/>
              <w:left w:val="single" w:color="auto" w:sz="4" w:space="0"/>
              <w:bottom w:val="single" w:color="auto" w:sz="4" w:space="0"/>
              <w:right w:val="single" w:color="auto" w:sz="4" w:space="0"/>
            </w:tcBorders>
            <w:vAlign w:val="center"/>
          </w:tcPr>
          <w:p w14:paraId="3CD54FE7">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FD74E3F">
            <w:pPr>
              <w:ind w:firstLine="0" w:firstLineChars="0"/>
              <w:jc w:val="center"/>
              <w:rPr>
                <w:rFonts w:hint="eastAsia" w:ascii="宋体" w:hAnsi="宋体" w:eastAsia="宋体"/>
                <w:sz w:val="24"/>
                <w:highlight w:val="none"/>
              </w:rPr>
            </w:pPr>
          </w:p>
        </w:tc>
      </w:tr>
      <w:tr w14:paraId="06FD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868A9E9">
            <w:pPr>
              <w:ind w:firstLine="0" w:firstLineChars="0"/>
              <w:jc w:val="center"/>
              <w:rPr>
                <w:rFonts w:hint="eastAsia" w:ascii="宋体" w:hAnsi="宋体" w:eastAsia="宋体"/>
                <w:sz w:val="24"/>
                <w:highlight w:val="none"/>
              </w:rPr>
            </w:pPr>
            <w:r>
              <w:rPr>
                <w:rFonts w:hint="eastAsia" w:ascii="宋体" w:hAnsi="宋体" w:eastAsia="宋体"/>
                <w:sz w:val="24"/>
                <w:highlight w:val="none"/>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14:paraId="1BBD8745">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3EB3AF36">
            <w:pPr>
              <w:ind w:firstLine="0" w:firstLineChars="0"/>
              <w:jc w:val="center"/>
              <w:rPr>
                <w:rFonts w:hint="eastAsia" w:ascii="宋体" w:hAnsi="宋体" w:eastAsia="宋体"/>
                <w:sz w:val="24"/>
                <w:highlight w:val="none"/>
              </w:rPr>
            </w:pPr>
          </w:p>
        </w:tc>
      </w:tr>
      <w:tr w14:paraId="7474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5B809397">
            <w:pPr>
              <w:ind w:firstLine="0" w:firstLineChars="0"/>
              <w:jc w:val="center"/>
              <w:rPr>
                <w:rFonts w:hint="eastAsia" w:ascii="宋体" w:hAnsi="宋体" w:eastAsia="宋体"/>
                <w:sz w:val="24"/>
                <w:highlight w:val="none"/>
              </w:rPr>
            </w:pPr>
            <w:r>
              <w:rPr>
                <w:rFonts w:hint="eastAsia" w:ascii="宋体" w:hAnsi="宋体" w:eastAsia="宋体"/>
                <w:sz w:val="24"/>
                <w:highlight w:val="none"/>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14:paraId="142A14E1">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5E232D89">
            <w:pPr>
              <w:ind w:firstLine="0" w:firstLineChars="0"/>
              <w:jc w:val="center"/>
              <w:rPr>
                <w:rFonts w:hint="eastAsia" w:ascii="宋体" w:hAnsi="宋体" w:eastAsia="宋体"/>
                <w:sz w:val="24"/>
                <w:highlight w:val="none"/>
              </w:rPr>
            </w:pPr>
          </w:p>
        </w:tc>
      </w:tr>
      <w:tr w14:paraId="7E0F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0AE4021A">
            <w:pPr>
              <w:ind w:firstLine="0" w:firstLineChars="0"/>
              <w:jc w:val="center"/>
              <w:rPr>
                <w:rFonts w:hint="eastAsia" w:ascii="宋体" w:hAnsi="宋体" w:eastAsia="宋体"/>
                <w:sz w:val="24"/>
                <w:highlight w:val="none"/>
              </w:rPr>
            </w:pPr>
            <w:r>
              <w:rPr>
                <w:rFonts w:hint="eastAsia" w:ascii="宋体" w:hAnsi="宋体" w:eastAsia="宋体"/>
                <w:sz w:val="24"/>
                <w:highlight w:val="none"/>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14:paraId="05A73D17">
            <w:pPr>
              <w:ind w:firstLine="0" w:firstLineChars="0"/>
              <w:jc w:val="center"/>
              <w:rPr>
                <w:rFonts w:hint="eastAsia"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3B519AF2">
            <w:pPr>
              <w:ind w:firstLine="0" w:firstLineChars="0"/>
              <w:jc w:val="center"/>
              <w:rPr>
                <w:rFonts w:hint="eastAsia" w:ascii="宋体" w:hAnsi="宋体" w:eastAsia="宋体"/>
                <w:sz w:val="24"/>
                <w:highlight w:val="none"/>
              </w:rPr>
            </w:pPr>
          </w:p>
        </w:tc>
      </w:tr>
      <w:tr w14:paraId="6E80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14:paraId="357CF1FE">
            <w:pPr>
              <w:ind w:firstLine="0" w:firstLineChars="0"/>
              <w:jc w:val="center"/>
              <w:rPr>
                <w:rFonts w:hint="eastAsia" w:ascii="宋体" w:hAnsi="宋体" w:eastAsia="宋体"/>
                <w:sz w:val="24"/>
                <w:highlight w:val="none"/>
              </w:rPr>
            </w:pPr>
            <w:r>
              <w:rPr>
                <w:rFonts w:hint="eastAsia" w:ascii="宋体" w:hAnsi="宋体" w:eastAsia="宋体"/>
                <w:sz w:val="24"/>
                <w:highlight w:val="none"/>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14:paraId="5F241147">
            <w:pPr>
              <w:ind w:firstLine="480"/>
              <w:jc w:val="center"/>
              <w:rPr>
                <w:rFonts w:hint="eastAsia" w:ascii="宋体" w:hAnsi="宋体" w:eastAsia="宋体"/>
                <w:sz w:val="24"/>
                <w:highlight w:val="none"/>
              </w:rPr>
            </w:pPr>
            <w:r>
              <w:rPr>
                <w:rFonts w:hint="eastAsia" w:ascii="宋体" w:hAnsi="宋体" w:eastAsia="宋体"/>
                <w:sz w:val="24"/>
                <w:highlight w:val="none"/>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14:paraId="6EFBBF30">
            <w:pPr>
              <w:ind w:firstLine="480"/>
              <w:jc w:val="center"/>
              <w:rPr>
                <w:rFonts w:hint="eastAsia" w:ascii="宋体" w:hAnsi="宋体" w:eastAsia="宋体"/>
                <w:sz w:val="24"/>
                <w:highlight w:val="none"/>
              </w:rPr>
            </w:pPr>
            <w:r>
              <w:rPr>
                <w:rFonts w:hint="eastAsia" w:ascii="宋体" w:hAnsi="宋体" w:eastAsia="宋体"/>
                <w:sz w:val="24"/>
                <w:highlight w:val="none"/>
              </w:rPr>
              <w:t xml:space="preserve"> </w:t>
            </w:r>
          </w:p>
        </w:tc>
      </w:tr>
      <w:tr w14:paraId="4714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3CE115E0">
            <w:pPr>
              <w:ind w:firstLine="0" w:firstLineChars="0"/>
              <w:jc w:val="center"/>
              <w:rPr>
                <w:rFonts w:hint="eastAsia" w:ascii="宋体" w:hAnsi="宋体" w:eastAsia="宋体"/>
                <w:sz w:val="24"/>
                <w:highlight w:val="none"/>
              </w:rPr>
            </w:pPr>
            <w:r>
              <w:rPr>
                <w:rFonts w:hint="eastAsia" w:ascii="宋体" w:hAnsi="宋体" w:eastAsia="宋体"/>
                <w:sz w:val="24"/>
                <w:highlight w:val="none"/>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14:paraId="094BE2C4">
            <w:pPr>
              <w:ind w:firstLine="480"/>
              <w:jc w:val="center"/>
              <w:rPr>
                <w:rFonts w:hint="eastAsia" w:ascii="宋体" w:hAnsi="宋体" w:eastAsia="宋体"/>
                <w:sz w:val="24"/>
                <w:highlight w:val="none"/>
              </w:rPr>
            </w:pPr>
            <w:r>
              <w:rPr>
                <w:rFonts w:hint="eastAsia" w:ascii="宋体" w:hAnsi="宋体" w:eastAsia="宋体"/>
                <w:sz w:val="24"/>
                <w:highlight w:val="none"/>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14:paraId="6630CD0E">
            <w:pPr>
              <w:ind w:firstLine="480"/>
              <w:jc w:val="center"/>
              <w:rPr>
                <w:rFonts w:hint="eastAsia" w:ascii="宋体" w:hAnsi="宋体" w:eastAsia="宋体"/>
                <w:sz w:val="24"/>
                <w:highlight w:val="none"/>
              </w:rPr>
            </w:pPr>
            <w:r>
              <w:rPr>
                <w:rFonts w:hint="eastAsia" w:ascii="宋体" w:hAnsi="宋体" w:eastAsia="宋体"/>
                <w:sz w:val="24"/>
                <w:highlight w:val="none"/>
              </w:rPr>
              <w:t>年    月    日</w:t>
            </w:r>
          </w:p>
        </w:tc>
      </w:tr>
    </w:tbl>
    <w:p w14:paraId="4838BC8B">
      <w:pPr>
        <w:spacing w:line="276" w:lineRule="auto"/>
        <w:ind w:firstLine="0" w:firstLineChars="0"/>
        <w:rPr>
          <w:rFonts w:hint="eastAsia"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附件1：乙方授权业务经办人联系卡</w:t>
      </w:r>
    </w:p>
    <w:tbl>
      <w:tblPr>
        <w:tblStyle w:val="7"/>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14:paraId="355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14:paraId="774FCF19">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甲    方：</w:t>
            </w:r>
          </w:p>
          <w:p w14:paraId="533782FD">
            <w:pPr>
              <w:widowControl/>
              <w:spacing w:line="276" w:lineRule="auto"/>
              <w:ind w:firstLine="0" w:firstLineChars="0"/>
              <w:jc w:val="left"/>
              <w:rPr>
                <w:rFonts w:hint="eastAsia" w:ascii="宋体" w:hAnsi="宋体" w:eastAsia="宋体"/>
                <w:sz w:val="21"/>
                <w:szCs w:val="21"/>
                <w:highlight w:val="none"/>
              </w:rPr>
            </w:pPr>
            <w:r>
              <w:rPr>
                <w:rFonts w:hint="eastAsia" w:ascii="宋体" w:hAnsi="宋体" w:eastAsia="宋体" w:cs="宋体"/>
                <w:kern w:val="0"/>
                <w:sz w:val="21"/>
                <w:szCs w:val="21"/>
                <w:highlight w:val="none"/>
              </w:rPr>
              <w:t>开户银行：</w:t>
            </w:r>
          </w:p>
          <w:p w14:paraId="302C4DCA">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    号：</w:t>
            </w:r>
          </w:p>
        </w:tc>
        <w:tc>
          <w:tcPr>
            <w:tcW w:w="4979" w:type="dxa"/>
            <w:tcBorders>
              <w:top w:val="single" w:color="auto" w:sz="4" w:space="0"/>
              <w:left w:val="single" w:color="auto" w:sz="4" w:space="0"/>
              <w:right w:val="single" w:color="auto" w:sz="4" w:space="0"/>
            </w:tcBorders>
            <w:vAlign w:val="center"/>
          </w:tcPr>
          <w:p w14:paraId="0AAAC77D">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乙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方：</w:t>
            </w:r>
          </w:p>
          <w:p w14:paraId="4F14ACD1">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p w14:paraId="6EF08634">
            <w:pPr>
              <w:widowControl/>
              <w:spacing w:line="276" w:lineRule="auto"/>
              <w:ind w:firstLine="0"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账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号：</w:t>
            </w:r>
          </w:p>
          <w:p w14:paraId="6E202528">
            <w:pPr>
              <w:spacing w:line="276" w:lineRule="auto"/>
              <w:ind w:firstLine="0" w:firstLineChars="0"/>
              <w:jc w:val="left"/>
              <w:rPr>
                <w:rFonts w:hint="eastAsia" w:ascii="宋体" w:hAnsi="宋体" w:eastAsia="宋体" w:cs="宋体"/>
                <w:kern w:val="0"/>
                <w:sz w:val="21"/>
                <w:szCs w:val="21"/>
                <w:highlight w:val="none"/>
              </w:rPr>
            </w:pPr>
          </w:p>
        </w:tc>
      </w:tr>
      <w:tr w14:paraId="263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14:paraId="60AF64DB">
            <w:pPr>
              <w:spacing w:line="276" w:lineRule="auto"/>
              <w:ind w:firstLine="0" w:firstLineChars="0"/>
              <w:rPr>
                <w:rFonts w:hint="eastAsia" w:ascii="宋体" w:hAnsi="宋体" w:eastAsia="宋体"/>
                <w:b/>
                <w:bCs/>
                <w:sz w:val="21"/>
                <w:szCs w:val="21"/>
                <w:highlight w:val="none"/>
              </w:rPr>
            </w:pPr>
            <w:r>
              <w:rPr>
                <w:rFonts w:hint="eastAsia" w:ascii="宋体" w:hAnsi="宋体" w:eastAsia="宋体"/>
                <w:b/>
                <w:bCs/>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14:paraId="61AC5953">
            <w:pPr>
              <w:widowControl/>
              <w:spacing w:line="276" w:lineRule="auto"/>
              <w:ind w:firstLine="0" w:firstLineChars="0"/>
              <w:jc w:val="left"/>
              <w:rPr>
                <w:rFonts w:hint="eastAsia" w:ascii="宋体" w:hAnsi="宋体" w:eastAsia="宋体" w:cs="宋体"/>
                <w:b/>
                <w:bCs/>
                <w:kern w:val="0"/>
                <w:sz w:val="21"/>
                <w:szCs w:val="21"/>
                <w:highlight w:val="none"/>
              </w:rPr>
            </w:pPr>
            <w:r>
              <w:rPr>
                <w:rFonts w:hint="eastAsia" w:ascii="宋体" w:hAnsi="宋体" w:eastAsia="宋体"/>
                <w:b/>
                <w:bCs/>
                <w:sz w:val="21"/>
                <w:szCs w:val="21"/>
                <w:highlight w:val="none"/>
              </w:rPr>
              <w:t xml:space="preserve">法定代表人/授权代表（签字）： </w:t>
            </w:r>
          </w:p>
        </w:tc>
      </w:tr>
      <w:tr w14:paraId="78E3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14:paraId="0B753A8B">
            <w:pPr>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签订日期：</w:t>
            </w:r>
            <w:r>
              <w:rPr>
                <w:rFonts w:ascii="宋体" w:hAnsi="宋体" w:eastAsia="宋体" w:cs="宋体"/>
                <w:sz w:val="21"/>
                <w:szCs w:val="21"/>
                <w:highlight w:val="none"/>
              </w:rPr>
              <w:t>20</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bl>
    <w:p w14:paraId="5E016AEF">
      <w:pPr>
        <w:spacing w:line="276" w:lineRule="auto"/>
        <w:ind w:firstLine="0" w:firstLineChars="0"/>
        <w:rPr>
          <w:rFonts w:hint="eastAsia" w:ascii="宋体" w:hAnsi="宋体" w:eastAsia="宋体" w:cs="宋体"/>
          <w:sz w:val="21"/>
          <w:szCs w:val="21"/>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15E3">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E55C6">
                          <w:pPr>
                            <w:pStyle w:val="4"/>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FFE55C6">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8C6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EBDA8">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924BB">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2A2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3A31">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C7ED5"/>
    <w:multiLevelType w:val="multilevel"/>
    <w:tmpl w:val="29EC7ED5"/>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ODI5ODMzYWI0N2MxODQ4ZTRlZmM3NmEwOTU2YzMifQ=="/>
    <w:docVar w:name="KSO_WPS_MARK_KEY" w:val="ff9d550d-fd2b-4511-ab15-83509eff0c38"/>
  </w:docVars>
  <w:rsids>
    <w:rsidRoot w:val="4DD20B95"/>
    <w:rsid w:val="001606E0"/>
    <w:rsid w:val="00174702"/>
    <w:rsid w:val="002019D1"/>
    <w:rsid w:val="00203923"/>
    <w:rsid w:val="002B7300"/>
    <w:rsid w:val="002F2877"/>
    <w:rsid w:val="003939A2"/>
    <w:rsid w:val="003B56D2"/>
    <w:rsid w:val="00464713"/>
    <w:rsid w:val="004D10E0"/>
    <w:rsid w:val="005322FB"/>
    <w:rsid w:val="006A52BE"/>
    <w:rsid w:val="006F4213"/>
    <w:rsid w:val="00724C24"/>
    <w:rsid w:val="007F68BD"/>
    <w:rsid w:val="00855AB1"/>
    <w:rsid w:val="0088380B"/>
    <w:rsid w:val="00886F09"/>
    <w:rsid w:val="00A60624"/>
    <w:rsid w:val="00B10A90"/>
    <w:rsid w:val="00B2291C"/>
    <w:rsid w:val="00C96396"/>
    <w:rsid w:val="00DD3913"/>
    <w:rsid w:val="00E535E1"/>
    <w:rsid w:val="03653C00"/>
    <w:rsid w:val="03F533A5"/>
    <w:rsid w:val="071D459E"/>
    <w:rsid w:val="07925E28"/>
    <w:rsid w:val="12844B79"/>
    <w:rsid w:val="15915815"/>
    <w:rsid w:val="1A9018EE"/>
    <w:rsid w:val="1E4C5F8A"/>
    <w:rsid w:val="1F6A5082"/>
    <w:rsid w:val="1FB50DDB"/>
    <w:rsid w:val="1FD06747"/>
    <w:rsid w:val="21D6236C"/>
    <w:rsid w:val="23F66E0B"/>
    <w:rsid w:val="28064AC8"/>
    <w:rsid w:val="2B4B4573"/>
    <w:rsid w:val="2BFE4B57"/>
    <w:rsid w:val="2CF7440B"/>
    <w:rsid w:val="323F4EBF"/>
    <w:rsid w:val="33602ED7"/>
    <w:rsid w:val="38DF12E3"/>
    <w:rsid w:val="390017A4"/>
    <w:rsid w:val="3B691AD2"/>
    <w:rsid w:val="3BDB6B6D"/>
    <w:rsid w:val="3C8A7F52"/>
    <w:rsid w:val="3EB91B4B"/>
    <w:rsid w:val="43AD51F6"/>
    <w:rsid w:val="4805254D"/>
    <w:rsid w:val="480768FB"/>
    <w:rsid w:val="4B1010DA"/>
    <w:rsid w:val="4DD20B95"/>
    <w:rsid w:val="53D855EF"/>
    <w:rsid w:val="566E4B14"/>
    <w:rsid w:val="5B76763A"/>
    <w:rsid w:val="5BAC3BB1"/>
    <w:rsid w:val="5EA70098"/>
    <w:rsid w:val="62AC0CED"/>
    <w:rsid w:val="66057EC8"/>
    <w:rsid w:val="6AE463E3"/>
    <w:rsid w:val="6CAD71C1"/>
    <w:rsid w:val="74C11412"/>
    <w:rsid w:val="771957BE"/>
    <w:rsid w:val="79154113"/>
    <w:rsid w:val="79B539BF"/>
    <w:rsid w:val="7B393157"/>
    <w:rsid w:val="7B655EBF"/>
    <w:rsid w:val="7CA477C1"/>
    <w:rsid w:val="7F5E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修订1"/>
    <w:hidden/>
    <w:unhideWhenUsed/>
    <w:qFormat/>
    <w:uiPriority w:val="99"/>
    <w:rPr>
      <w:rFonts w:ascii="Times New Roman" w:hAnsi="Times New Roman" w:eastAsia="仿宋_GB2312" w:cs="Times New Roman"/>
      <w:kern w:val="2"/>
      <w:sz w:val="30"/>
      <w:szCs w:val="24"/>
      <w:lang w:val="en-US" w:eastAsia="zh-CN" w:bidi="ar-SA"/>
    </w:rPr>
  </w:style>
  <w:style w:type="paragraph" w:styleId="11">
    <w:name w:val="List Paragraph"/>
    <w:basedOn w:val="1"/>
    <w:unhideWhenUsed/>
    <w:qFormat/>
    <w:uiPriority w:val="99"/>
    <w:pPr>
      <w:ind w:firstLine="420"/>
    </w:pPr>
  </w:style>
  <w:style w:type="paragraph" w:customStyle="1" w:styleId="12">
    <w:name w:val="修订2"/>
    <w:hidden/>
    <w:unhideWhenUsed/>
    <w:qFormat/>
    <w:uiPriority w:val="99"/>
    <w:rPr>
      <w:rFonts w:ascii="Times New Roman" w:hAnsi="Times New Roman" w:eastAsia="仿宋_GB2312" w:cs="Times New Roman"/>
      <w:kern w:val="2"/>
      <w:sz w:val="30"/>
      <w:szCs w:val="24"/>
      <w:lang w:val="en-US" w:eastAsia="zh-CN" w:bidi="ar-SA"/>
    </w:rPr>
  </w:style>
  <w:style w:type="paragraph" w:customStyle="1" w:styleId="13">
    <w:name w:val="Revision"/>
    <w:hidden/>
    <w:unhideWhenUsed/>
    <w:qFormat/>
    <w:uiPriority w:val="99"/>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4793</Words>
  <Characters>4859</Characters>
  <Lines>191</Lines>
  <Paragraphs>104</Paragraphs>
  <TotalTime>2</TotalTime>
  <ScaleCrop>false</ScaleCrop>
  <LinksUpToDate>false</LinksUpToDate>
  <CharactersWithSpaces>5233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2025-06-29T09:21:00Z</dcterms:created>
  <dc:creator>孙元隆</dc:creator>
  <cp:lastModifiedBy>海南农交办公账号</cp:lastModifiedBy>
  <cp:lastPrinted>2025-03-31T03:18:00Z</cp:lastPrinted>
  <dcterms:modified xsi:type="dcterms:W3CDTF">2025-07-07T08:43:04Z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A3570E707FCF4540BCF0444C24151A14_13</vt:lpwstr>
  </property>
  <property fmtid="{D5CDD505-2E9C-101B-9397-08002B2CF9AE}" pid="4" name="KSOTemplateDocerSaveRecord">
    <vt:lpwstr>eyJoZGlkIjoiYWFhYjE4MWFmOGQwMzBiMjRmYTI3Y2I3MzVhNDRkOTAiLCJ1c2VySWQiOiIxNTc0MTczNzE3In0=</vt:lpwstr>
  </property>
</Properties>
</file>