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C7A03">
      <w:pPr>
        <w:spacing w:before="0" w:beforeLines="0" w:line="560" w:lineRule="exact"/>
        <w:jc w:val="right"/>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（编号：</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ZHCP   </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p>
    <w:p w14:paraId="211317A9">
      <w:pPr>
        <w:spacing w:beforeLines="0" w:line="560" w:lineRule="exact"/>
        <w:jc w:val="center"/>
        <w:rPr>
          <w:rFonts w:hint="default" w:ascii="Times New Roman" w:hAnsi="Times New Roman" w:cs="Times New Roman"/>
          <w:color w:val="000000" w:themeColor="text1"/>
          <w:sz w:val="48"/>
          <w:szCs w:val="48"/>
          <w:highlight w:val="none"/>
          <w14:textFill>
            <w14:solidFill>
              <w14:schemeClr w14:val="tx1"/>
            </w14:solidFill>
          </w14:textFill>
        </w:rPr>
      </w:pPr>
    </w:p>
    <w:p w14:paraId="5F15C352">
      <w:pPr>
        <w:spacing w:beforeLines="0" w:line="560" w:lineRule="exact"/>
        <w:jc w:val="center"/>
        <w:rPr>
          <w:rFonts w:hint="default" w:ascii="Times New Roman" w:hAnsi="Times New Roman" w:cs="Times New Roman"/>
          <w:color w:val="000000" w:themeColor="text1"/>
          <w:sz w:val="48"/>
          <w:szCs w:val="48"/>
          <w:highlight w:val="none"/>
          <w14:textFill>
            <w14:solidFill>
              <w14:schemeClr w14:val="tx1"/>
            </w14:solidFill>
          </w14:textFill>
        </w:rPr>
      </w:pPr>
    </w:p>
    <w:p w14:paraId="064753CE">
      <w:pPr>
        <w:spacing w:beforeLines="0" w:line="560" w:lineRule="exact"/>
        <w:jc w:val="center"/>
        <w:rPr>
          <w:rFonts w:hint="default" w:ascii="Times New Roman" w:hAnsi="Times New Roman" w:cs="Times New Roman"/>
          <w:color w:val="000000" w:themeColor="text1"/>
          <w:sz w:val="48"/>
          <w:szCs w:val="48"/>
          <w:highlight w:val="none"/>
          <w14:textFill>
            <w14:solidFill>
              <w14:schemeClr w14:val="tx1"/>
            </w14:solidFill>
          </w14:textFill>
        </w:rPr>
      </w:pPr>
    </w:p>
    <w:p w14:paraId="30CAFD70">
      <w:pPr>
        <w:spacing w:beforeLines="0" w:line="560" w:lineRule="exact"/>
        <w:jc w:val="center"/>
        <w:rPr>
          <w:rFonts w:hint="default" w:ascii="Times New Roman" w:hAnsi="Times New Roman" w:eastAsia="方正小标宋简体" w:cs="Times New Roman"/>
          <w:color w:val="000000" w:themeColor="text1"/>
          <w:sz w:val="48"/>
          <w:szCs w:val="48"/>
          <w:highlight w:val="none"/>
          <w14:textFill>
            <w14:solidFill>
              <w14:schemeClr w14:val="tx1"/>
            </w14:solidFill>
          </w14:textFill>
        </w:rPr>
      </w:pPr>
    </w:p>
    <w:p w14:paraId="47BB4F74">
      <w:pPr>
        <w:spacing w:beforeLines="0" w:line="480" w:lineRule="auto"/>
        <w:jc w:val="center"/>
        <w:rPr>
          <w:rFonts w:hint="default" w:ascii="Times New Roman" w:hAnsi="Times New Roman" w:eastAsia="方正小标宋简体" w:cs="Times New Roman"/>
          <w:color w:val="000000" w:themeColor="text1"/>
          <w:sz w:val="48"/>
          <w:szCs w:val="48"/>
          <w:highlight w:val="none"/>
          <w14:textFill>
            <w14:solidFill>
              <w14:schemeClr w14:val="tx1"/>
            </w14:solidFill>
          </w14:textFill>
        </w:rPr>
      </w:pPr>
      <w:r>
        <w:rPr>
          <w:rFonts w:hint="default" w:ascii="Times New Roman" w:hAnsi="Times New Roman" w:eastAsia="方正小标宋简体" w:cs="Times New Roman"/>
          <w:color w:val="000000" w:themeColor="text1"/>
          <w:sz w:val="48"/>
          <w:szCs w:val="48"/>
          <w:highlight w:val="none"/>
          <w14:textFill>
            <w14:solidFill>
              <w14:schemeClr w14:val="tx1"/>
            </w14:solidFill>
          </w14:textFill>
        </w:rPr>
        <w:t>三亚城投众辉新型建</w:t>
      </w:r>
      <w:bookmarkStart w:id="0" w:name="_GoBack"/>
      <w:bookmarkEnd w:id="0"/>
      <w:r>
        <w:rPr>
          <w:rFonts w:hint="default" w:ascii="Times New Roman" w:hAnsi="Times New Roman" w:eastAsia="方正小标宋简体" w:cs="Times New Roman"/>
          <w:color w:val="000000" w:themeColor="text1"/>
          <w:sz w:val="48"/>
          <w:szCs w:val="48"/>
          <w:highlight w:val="none"/>
          <w14:textFill>
            <w14:solidFill>
              <w14:schemeClr w14:val="tx1"/>
            </w14:solidFill>
          </w14:textFill>
        </w:rPr>
        <w:t>材有限公司</w:t>
      </w:r>
    </w:p>
    <w:p w14:paraId="16A815C1">
      <w:pPr>
        <w:spacing w:beforeLines="0" w:line="480" w:lineRule="auto"/>
        <w:jc w:val="center"/>
        <w:rPr>
          <w:rFonts w:hint="default" w:ascii="Times New Roman" w:hAnsi="Times New Roman" w:eastAsia="方正小标宋简体" w:cs="Times New Roman"/>
          <w:color w:val="000000" w:themeColor="text1"/>
          <w:sz w:val="48"/>
          <w:szCs w:val="48"/>
          <w:highlight w:val="none"/>
          <w14:textFill>
            <w14:solidFill>
              <w14:schemeClr w14:val="tx1"/>
            </w14:solidFill>
          </w14:textFill>
        </w:rPr>
      </w:pPr>
      <w:r>
        <w:rPr>
          <w:rFonts w:hint="default" w:ascii="Times New Roman" w:hAnsi="Times New Roman" w:eastAsia="方正小标宋简体" w:cs="Times New Roman"/>
          <w:color w:val="000000" w:themeColor="text1"/>
          <w:sz w:val="48"/>
          <w:szCs w:val="48"/>
          <w:highlight w:val="none"/>
          <w:lang w:val="en-US" w:eastAsia="zh-CN"/>
          <w14:textFill>
            <w14:solidFill>
              <w14:schemeClr w14:val="tx1"/>
            </w14:solidFill>
          </w14:textFill>
        </w:rPr>
        <w:t>砂石料</w:t>
      </w:r>
      <w:r>
        <w:rPr>
          <w:rFonts w:hint="eastAsia" w:ascii="Times New Roman" w:hAnsi="Times New Roman" w:eastAsia="方正小标宋简体" w:cs="Times New Roman"/>
          <w:color w:val="auto"/>
          <w:sz w:val="48"/>
          <w:szCs w:val="48"/>
          <w:highlight w:val="none"/>
          <w:lang w:val="en-US" w:eastAsia="zh-CN"/>
        </w:rPr>
        <w:t>销</w:t>
      </w:r>
      <w:r>
        <w:rPr>
          <w:rFonts w:hint="default" w:ascii="Times New Roman" w:hAnsi="Times New Roman" w:eastAsia="方正小标宋简体" w:cs="Times New Roman"/>
          <w:color w:val="auto"/>
          <w:sz w:val="48"/>
          <w:szCs w:val="48"/>
          <w:highlight w:val="none"/>
        </w:rPr>
        <w:t>售</w:t>
      </w:r>
      <w:r>
        <w:rPr>
          <w:rFonts w:hint="default" w:ascii="Times New Roman" w:hAnsi="Times New Roman" w:eastAsia="方正小标宋简体" w:cs="Times New Roman"/>
          <w:color w:val="000000" w:themeColor="text1"/>
          <w:sz w:val="48"/>
          <w:szCs w:val="48"/>
          <w:highlight w:val="none"/>
          <w14:textFill>
            <w14:solidFill>
              <w14:schemeClr w14:val="tx1"/>
            </w14:solidFill>
          </w14:textFill>
        </w:rPr>
        <w:t>合同</w:t>
      </w:r>
    </w:p>
    <w:p w14:paraId="2A89FB9D">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037740E1">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6E51EB31">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30718F1F">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863A61D">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28747168">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31E47F46">
      <w:pPr>
        <w:spacing w:before="0" w:beforeLines="0" w:line="480" w:lineRule="auto"/>
        <w:ind w:firstLine="1600" w:firstLineChars="500"/>
        <w:jc w:val="left"/>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卖方：</w:t>
      </w:r>
      <w:r>
        <w:rPr>
          <w:rFonts w:hint="default" w:ascii="Times New Roman" w:hAnsi="Times New Roman" w:cs="Times New Roman"/>
          <w:color w:val="000000" w:themeColor="text1"/>
          <w:sz w:val="32"/>
          <w:szCs w:val="32"/>
          <w:highlight w:val="none"/>
          <w:u w:val="single"/>
          <w:lang w:val="en-US" w:eastAsia="zh-CN"/>
          <w14:textFill>
            <w14:solidFill>
              <w14:schemeClr w14:val="tx1"/>
            </w14:solidFill>
          </w14:textFill>
        </w:rPr>
        <w:t>三亚城投众辉新型建材有限公司</w:t>
      </w:r>
    </w:p>
    <w:p w14:paraId="4D3F716E">
      <w:pPr>
        <w:spacing w:before="0" w:beforeLines="0" w:line="480" w:lineRule="auto"/>
        <w:ind w:firstLine="1600" w:firstLineChars="500"/>
        <w:jc w:val="left"/>
        <w:rPr>
          <w:rFonts w:hint="default" w:ascii="Times New Roman" w:hAnsi="Times New Roman" w:cs="Times New Roman"/>
          <w:color w:val="000000" w:themeColor="text1"/>
          <w:sz w:val="32"/>
          <w:szCs w:val="32"/>
          <w:highlight w:val="none"/>
          <w:lang w:val="en-US"/>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买方：</w:t>
      </w:r>
      <w:r>
        <w:rPr>
          <w:rFonts w:hint="default" w:ascii="Times New Roman" w:hAnsi="Times New Roman" w:cs="Times New Roman"/>
          <w:color w:val="000000" w:themeColor="text1"/>
          <w:sz w:val="32"/>
          <w:szCs w:val="32"/>
          <w:highlight w:val="none"/>
          <w:u w:val="single"/>
          <w:lang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u w:val="single"/>
          <w:lang w:val="en-US" w:eastAsia="zh-CN"/>
          <w14:textFill>
            <w14:solidFill>
              <w14:schemeClr w14:val="tx1"/>
            </w14:solidFill>
          </w14:textFill>
        </w:rPr>
        <w:t xml:space="preserve">    </w:t>
      </w:r>
    </w:p>
    <w:p w14:paraId="6A06B03F">
      <w:pPr>
        <w:spacing w:before="0" w:beforeLines="0" w:line="480" w:lineRule="auto"/>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147B4684">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54C8D3D9">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39A1051">
      <w:pPr>
        <w:spacing w:before="0" w:beforeLines="0" w:line="56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年     月    日</w:t>
      </w:r>
    </w:p>
    <w:p w14:paraId="6EE35F9F">
      <w:pPr>
        <w:spacing w:before="0" w:beforeLines="0" w:line="560" w:lineRule="exact"/>
        <w:jc w:val="center"/>
        <w:rPr>
          <w:rFonts w:hint="default" w:ascii="Times New Roman" w:hAnsi="Times New Roman" w:cs="Times New Roman"/>
          <w:color w:val="000000" w:themeColor="text1"/>
          <w:sz w:val="30"/>
          <w:szCs w:val="30"/>
          <w:highlight w:val="none"/>
          <w14:textFill>
            <w14:solidFill>
              <w14:schemeClr w14:val="tx1"/>
            </w14:solidFill>
          </w14:textFill>
        </w:rPr>
      </w:pPr>
    </w:p>
    <w:p w14:paraId="5C09BFC7">
      <w:pPr>
        <w:spacing w:before="0" w:beforeLines="0" w:line="560" w:lineRule="exact"/>
        <w:jc w:val="center"/>
        <w:rPr>
          <w:rFonts w:hint="default" w:ascii="Times New Roman" w:hAnsi="Times New Roman" w:cs="Times New Roman"/>
          <w:color w:val="000000" w:themeColor="text1"/>
          <w:sz w:val="30"/>
          <w:szCs w:val="30"/>
          <w:highlight w:val="none"/>
          <w14:textFill>
            <w14:solidFill>
              <w14:schemeClr w14:val="tx1"/>
            </w14:solidFill>
          </w14:textFill>
        </w:rPr>
      </w:pPr>
    </w:p>
    <w:p w14:paraId="603717A8">
      <w:pPr>
        <w:spacing w:before="0" w:beforeLines="0" w:line="560" w:lineRule="exact"/>
        <w:jc w:val="center"/>
        <w:rPr>
          <w:rFonts w:hint="default" w:ascii="Times New Roman" w:hAnsi="Times New Roman" w:cs="Times New Roman"/>
          <w:color w:val="000000" w:themeColor="text1"/>
          <w:sz w:val="30"/>
          <w:szCs w:val="30"/>
          <w:highlight w:val="none"/>
          <w14:textFill>
            <w14:solidFill>
              <w14:schemeClr w14:val="tx1"/>
            </w14:solidFill>
          </w14:textFill>
        </w:rPr>
      </w:pPr>
    </w:p>
    <w:p w14:paraId="7758DE2A">
      <w:pPr>
        <w:keepNext w:val="0"/>
        <w:keepLines w:val="0"/>
        <w:pageBreakBefore w:val="0"/>
        <w:widowControl w:val="0"/>
        <w:kinsoku/>
        <w:wordWrap/>
        <w:overflowPunct/>
        <w:topLinePunct w:val="0"/>
        <w:autoSpaceDE/>
        <w:autoSpaceDN/>
        <w:bidi w:val="0"/>
        <w:adjustRightInd/>
        <w:snapToGrid/>
        <w:spacing w:beforeLines="0" w:line="578" w:lineRule="exact"/>
        <w:jc w:val="both"/>
        <w:textAlignment w:val="auto"/>
        <w:rPr>
          <w:rFonts w:hint="default" w:ascii="Times New Roman" w:hAnsi="Times New Roman" w:eastAsia="仿宋" w:cs="Times New Roman"/>
          <w:b/>
          <w:bCs/>
          <w:color w:val="000000" w:themeColor="text1"/>
          <w:sz w:val="32"/>
          <w:szCs w:val="32"/>
          <w:highlight w:val="none"/>
          <w14:textFill>
            <w14:solidFill>
              <w14:schemeClr w14:val="tx1"/>
            </w14:solidFill>
          </w14:textFill>
        </w:rPr>
      </w:pPr>
    </w:p>
    <w:p w14:paraId="58297668">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2" w:firstLineChars="0"/>
        <w:jc w:val="left"/>
        <w:textAlignment w:val="auto"/>
        <w:rPr>
          <w:rFonts w:hint="eastAsia" w:ascii="仿宋_GB2312" w:hAnsi="仿宋_GB2312" w:eastAsia="仿宋_GB2312" w:cs="仿宋_GB2312"/>
          <w:b/>
          <w:bCs/>
          <w:color w:val="auto"/>
          <w:sz w:val="32"/>
          <w:szCs w:val="32"/>
          <w:highlight w:val="none"/>
          <w:u w:val="single"/>
        </w:rPr>
      </w:pPr>
    </w:p>
    <w:p w14:paraId="0F06BAB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rPr>
      </w:pPr>
      <w:r>
        <w:rPr>
          <w:rFonts w:hint="eastAsia" w:ascii="宋体" w:hAnsi="仿宋_GB2312" w:eastAsia="宋体" w:cs="仿宋_GB2312"/>
          <w:b/>
          <w:bCs/>
          <w:color w:val="auto"/>
          <w:sz w:val="24"/>
          <w:szCs w:val="32"/>
          <w:highlight w:val="none"/>
          <w:u w:val="single"/>
        </w:rPr>
        <w:t>甲方（卖方）：</w:t>
      </w:r>
      <w:r>
        <w:rPr>
          <w:rFonts w:hint="eastAsia" w:ascii="宋体" w:hAnsi="仿宋_GB2312" w:eastAsia="宋体" w:cs="仿宋_GB2312"/>
          <w:color w:val="auto"/>
          <w:sz w:val="24"/>
          <w:szCs w:val="32"/>
          <w:highlight w:val="none"/>
          <w:u w:val="single"/>
          <w:lang w:val="en-US" w:eastAsia="zh-CN"/>
        </w:rPr>
        <w:t>三亚城投众辉新型建材有限公司</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 xml:space="preserve"> </w:t>
      </w:r>
    </w:p>
    <w:p w14:paraId="7E013A8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rPr>
      </w:pPr>
      <w:r>
        <w:rPr>
          <w:rFonts w:hint="eastAsia" w:ascii="宋体" w:hAnsi="仿宋_GB2312" w:eastAsia="宋体" w:cs="仿宋_GB2312"/>
          <w:color w:val="auto"/>
          <w:sz w:val="24"/>
          <w:szCs w:val="32"/>
          <w:highlight w:val="none"/>
          <w:u w:val="single"/>
          <w:lang w:val="en-US" w:eastAsia="zh-CN"/>
        </w:rPr>
        <w:t>统一社会信用代码：</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 xml:space="preserve">    </w:t>
      </w:r>
    </w:p>
    <w:p w14:paraId="6058A78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lang w:val="en-US"/>
        </w:rPr>
      </w:pPr>
      <w:r>
        <w:rPr>
          <w:rFonts w:hint="eastAsia" w:ascii="宋体" w:hAnsi="仿宋_GB2312" w:eastAsia="宋体" w:cs="仿宋_GB2312"/>
          <w:color w:val="auto"/>
          <w:sz w:val="24"/>
          <w:szCs w:val="32"/>
          <w:highlight w:val="none"/>
          <w:u w:val="single"/>
        </w:rPr>
        <w:t>地</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址：</w:t>
      </w:r>
      <w:r>
        <w:rPr>
          <w:rFonts w:hint="eastAsia" w:ascii="宋体" w:hAnsi="仿宋_GB2312" w:eastAsia="宋体" w:cs="仿宋_GB2312"/>
          <w:color w:val="auto"/>
          <w:sz w:val="24"/>
          <w:szCs w:val="32"/>
          <w:highlight w:val="none"/>
          <w:u w:val="single"/>
          <w:lang w:val="en-US" w:eastAsia="zh-CN"/>
        </w:rPr>
        <w:t xml:space="preserve">海南省三亚市崖州区深海装备产业园区A栋801、802室                                    </w:t>
      </w:r>
    </w:p>
    <w:p w14:paraId="703180A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lang w:val="en-US" w:eastAsia="zh-CN"/>
        </w:rPr>
      </w:pPr>
      <w:r>
        <w:rPr>
          <w:rFonts w:hint="eastAsia" w:ascii="宋体" w:hAnsi="仿宋_GB2312" w:eastAsia="宋体" w:cs="仿宋_GB2312"/>
          <w:color w:val="auto"/>
          <w:sz w:val="24"/>
          <w:szCs w:val="32"/>
          <w:highlight w:val="none"/>
          <w:u w:val="single"/>
        </w:rPr>
        <w:t>联</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系</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人：</w:t>
      </w:r>
      <w:r>
        <w:rPr>
          <w:rFonts w:hint="eastAsia" w:ascii="宋体" w:hAnsi="仿宋_GB2312" w:eastAsia="宋体" w:cs="仿宋_GB2312"/>
          <w:color w:val="auto"/>
          <w:sz w:val="24"/>
          <w:szCs w:val="32"/>
          <w:highlight w:val="none"/>
          <w:u w:val="single"/>
          <w:lang w:val="en-US" w:eastAsia="zh-CN"/>
        </w:rPr>
        <w:t xml:space="preserve">                                      </w:t>
      </w:r>
    </w:p>
    <w:p w14:paraId="6B4B6E4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lang w:val="en-US" w:eastAsia="zh-CN"/>
        </w:rPr>
      </w:pPr>
      <w:r>
        <w:rPr>
          <w:rFonts w:hint="eastAsia" w:ascii="宋体" w:hAnsi="仿宋_GB2312" w:eastAsia="宋体" w:cs="仿宋_GB2312"/>
          <w:color w:val="auto"/>
          <w:sz w:val="24"/>
          <w:szCs w:val="32"/>
          <w:highlight w:val="none"/>
          <w:u w:val="single"/>
        </w:rPr>
        <w:t>电</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话：</w:t>
      </w:r>
      <w:r>
        <w:rPr>
          <w:rFonts w:hint="eastAsia" w:ascii="宋体" w:hAnsi="仿宋_GB2312" w:eastAsia="宋体" w:cs="仿宋_GB2312"/>
          <w:color w:val="auto"/>
          <w:sz w:val="24"/>
          <w:szCs w:val="32"/>
          <w:highlight w:val="none"/>
          <w:u w:val="single"/>
          <w:lang w:val="en-US" w:eastAsia="zh-CN"/>
        </w:rPr>
        <w:t xml:space="preserve">                                      </w:t>
      </w:r>
    </w:p>
    <w:p w14:paraId="78E671A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b/>
          <w:bCs/>
          <w:color w:val="auto"/>
          <w:sz w:val="24"/>
          <w:szCs w:val="32"/>
          <w:highlight w:val="none"/>
          <w:u w:val="single"/>
          <w:lang w:val="en-US" w:eastAsia="zh-CN"/>
        </w:rPr>
      </w:pPr>
      <w:r>
        <w:rPr>
          <w:rFonts w:hint="eastAsia" w:ascii="宋体" w:hAnsi="仿宋_GB2312" w:eastAsia="宋体" w:cs="仿宋_GB2312"/>
          <w:b/>
          <w:bCs/>
          <w:color w:val="auto"/>
          <w:sz w:val="24"/>
          <w:szCs w:val="32"/>
          <w:highlight w:val="none"/>
          <w:u w:val="single"/>
        </w:rPr>
        <w:t>乙方（买方）：</w:t>
      </w:r>
      <w:r>
        <w:rPr>
          <w:rFonts w:hint="eastAsia" w:ascii="宋体" w:hAnsi="仿宋_GB2312" w:eastAsia="宋体" w:cs="仿宋_GB2312"/>
          <w:b/>
          <w:bCs/>
          <w:color w:val="auto"/>
          <w:sz w:val="24"/>
          <w:szCs w:val="32"/>
          <w:highlight w:val="none"/>
          <w:u w:val="single"/>
          <w:lang w:val="en-US" w:eastAsia="zh-CN"/>
        </w:rPr>
        <w:t xml:space="preserve">              </w:t>
      </w:r>
      <w:r>
        <w:rPr>
          <w:rFonts w:hint="eastAsia" w:ascii="宋体" w:hAnsi="仿宋_GB2312" w:eastAsia="宋体" w:cs="仿宋_GB2312"/>
          <w:b w:val="0"/>
          <w:bCs w:val="0"/>
          <w:color w:val="auto"/>
          <w:sz w:val="24"/>
          <w:szCs w:val="32"/>
          <w:highlight w:val="none"/>
          <w:u w:val="single"/>
          <w:lang w:val="en-US" w:eastAsia="zh-CN"/>
        </w:rPr>
        <w:t xml:space="preserve">                  </w:t>
      </w:r>
      <w:r>
        <w:rPr>
          <w:rFonts w:hint="eastAsia" w:ascii="宋体" w:hAnsi="仿宋_GB2312" w:eastAsia="宋体" w:cs="仿宋_GB2312"/>
          <w:b/>
          <w:bCs/>
          <w:color w:val="auto"/>
          <w:sz w:val="24"/>
          <w:szCs w:val="32"/>
          <w:highlight w:val="none"/>
          <w:u w:val="single"/>
          <w:lang w:val="en-US" w:eastAsia="zh-CN"/>
        </w:rPr>
        <w:t xml:space="preserve">      </w:t>
      </w:r>
    </w:p>
    <w:p w14:paraId="23DBC1E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rPr>
      </w:pPr>
      <w:r>
        <w:rPr>
          <w:rFonts w:hint="eastAsia" w:ascii="宋体" w:hAnsi="仿宋_GB2312" w:eastAsia="宋体" w:cs="仿宋_GB2312"/>
          <w:b w:val="0"/>
          <w:bCs w:val="0"/>
          <w:color w:val="auto"/>
          <w:sz w:val="24"/>
          <w:szCs w:val="32"/>
          <w:highlight w:val="none"/>
          <w:u w:val="single"/>
          <w:lang w:val="en-US" w:eastAsia="zh-CN"/>
        </w:rPr>
        <w:t>统一社会信用代码：</w:t>
      </w:r>
      <w:r>
        <w:rPr>
          <w:rFonts w:hint="eastAsia" w:ascii="宋体" w:hAnsi="仿宋_GB2312" w:eastAsia="宋体" w:cs="仿宋_GB2312"/>
          <w:b w:val="0"/>
          <w:bCs w:val="0"/>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 xml:space="preserve">                        </w:t>
      </w:r>
    </w:p>
    <w:p w14:paraId="046EBCD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lang w:val="en-US" w:eastAsia="zh-CN"/>
        </w:rPr>
      </w:pPr>
      <w:r>
        <w:rPr>
          <w:rFonts w:hint="eastAsia" w:ascii="宋体" w:hAnsi="仿宋_GB2312" w:eastAsia="宋体" w:cs="仿宋_GB2312"/>
          <w:color w:val="auto"/>
          <w:sz w:val="24"/>
          <w:szCs w:val="32"/>
          <w:highlight w:val="none"/>
          <w:u w:val="single"/>
        </w:rPr>
        <w:t>地</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址：</w:t>
      </w:r>
      <w:r>
        <w:rPr>
          <w:rFonts w:hint="eastAsia" w:ascii="宋体" w:hAnsi="仿宋_GB2312" w:eastAsia="宋体" w:cs="仿宋_GB2312"/>
          <w:color w:val="auto"/>
          <w:sz w:val="24"/>
          <w:szCs w:val="32"/>
          <w:highlight w:val="none"/>
          <w:u w:val="single"/>
          <w:lang w:val="en-US" w:eastAsia="zh-CN"/>
        </w:rPr>
        <w:t xml:space="preserve">                                      </w:t>
      </w:r>
    </w:p>
    <w:p w14:paraId="0496E4D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lang w:val="en-US" w:eastAsia="zh-CN"/>
        </w:rPr>
      </w:pPr>
      <w:r>
        <w:rPr>
          <w:rFonts w:hint="eastAsia" w:ascii="宋体" w:hAnsi="仿宋_GB2312" w:eastAsia="宋体" w:cs="仿宋_GB2312"/>
          <w:color w:val="auto"/>
          <w:sz w:val="24"/>
          <w:szCs w:val="32"/>
          <w:highlight w:val="none"/>
          <w:u w:val="single"/>
        </w:rPr>
        <w:t>联</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系</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人：</w:t>
      </w:r>
      <w:r>
        <w:rPr>
          <w:rFonts w:hint="eastAsia" w:ascii="宋体" w:hAnsi="仿宋_GB2312" w:eastAsia="宋体" w:cs="仿宋_GB2312"/>
          <w:color w:val="auto"/>
          <w:sz w:val="24"/>
          <w:szCs w:val="32"/>
          <w:highlight w:val="none"/>
          <w:u w:val="single"/>
          <w:lang w:val="en-US" w:eastAsia="zh-CN"/>
        </w:rPr>
        <w:t xml:space="preserve">                                      </w:t>
      </w:r>
    </w:p>
    <w:p w14:paraId="16A4394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lang w:val="en-US" w:eastAsia="zh-CN"/>
        </w:rPr>
      </w:pPr>
      <w:r>
        <w:rPr>
          <w:rFonts w:hint="eastAsia" w:ascii="宋体" w:hAnsi="仿宋_GB2312" w:eastAsia="宋体" w:cs="仿宋_GB2312"/>
          <w:color w:val="auto"/>
          <w:sz w:val="24"/>
          <w:szCs w:val="32"/>
          <w:highlight w:val="none"/>
          <w:u w:val="single"/>
        </w:rPr>
        <w:t>电</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话：</w:t>
      </w:r>
      <w:r>
        <w:rPr>
          <w:rFonts w:hint="eastAsia" w:ascii="宋体" w:hAnsi="仿宋_GB2312" w:eastAsia="宋体" w:cs="仿宋_GB2312"/>
          <w:color w:val="auto"/>
          <w:sz w:val="24"/>
          <w:szCs w:val="32"/>
          <w:highlight w:val="none"/>
          <w:u w:val="single"/>
          <w:lang w:val="en-US" w:eastAsia="zh-CN"/>
        </w:rPr>
        <w:t xml:space="preserve">                                      </w:t>
      </w:r>
    </w:p>
    <w:p w14:paraId="697AB80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highlight w:val="none"/>
        </w:rPr>
      </w:pPr>
    </w:p>
    <w:p w14:paraId="66902F85">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根据《中华人民共和国民法典》及相关法律法规，</w:t>
      </w:r>
      <w:r>
        <w:rPr>
          <w:rFonts w:hint="eastAsia" w:ascii="宋体" w:hAnsi="仿宋_GB2312" w:eastAsia="宋体" w:cs="仿宋_GB2312"/>
          <w:color w:val="auto"/>
          <w:sz w:val="24"/>
          <w:szCs w:val="32"/>
          <w:highlight w:val="none"/>
          <w:lang w:val="en-US" w:eastAsia="zh-CN"/>
        </w:rPr>
        <w:t>遵循平等、自愿、诚实信用原则，甲乙</w:t>
      </w:r>
      <w:r>
        <w:rPr>
          <w:rFonts w:hint="eastAsia" w:ascii="宋体" w:hAnsi="仿宋_GB2312" w:eastAsia="宋体" w:cs="仿宋_GB2312"/>
          <w:color w:val="auto"/>
          <w:sz w:val="24"/>
          <w:szCs w:val="32"/>
          <w:highlight w:val="none"/>
        </w:rPr>
        <w:t>双方</w:t>
      </w:r>
      <w:r>
        <w:rPr>
          <w:rFonts w:hint="eastAsia" w:ascii="宋体" w:hAnsi="仿宋_GB2312" w:eastAsia="宋体" w:cs="仿宋_GB2312"/>
          <w:color w:val="auto"/>
          <w:sz w:val="24"/>
          <w:szCs w:val="32"/>
          <w:highlight w:val="none"/>
          <w:lang w:val="en-US" w:eastAsia="zh-CN"/>
        </w:rPr>
        <w:t>就砂石料采购事宜</w:t>
      </w:r>
      <w:r>
        <w:rPr>
          <w:rFonts w:hint="eastAsia" w:ascii="宋体" w:hAnsi="仿宋_GB2312" w:eastAsia="宋体" w:cs="仿宋_GB2312"/>
          <w:color w:val="auto"/>
          <w:sz w:val="24"/>
          <w:szCs w:val="32"/>
          <w:highlight w:val="none"/>
        </w:rPr>
        <w:t>协商一致，签订本合同。</w:t>
      </w:r>
    </w:p>
    <w:p w14:paraId="27497B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default" w:ascii="黑体" w:hAnsi="Times New Roman" w:eastAsia="黑体" w:cs="Times New Roman"/>
          <w:b w:val="0"/>
          <w:bCs/>
          <w:color w:val="auto"/>
          <w:sz w:val="28"/>
          <w:szCs w:val="32"/>
          <w:highlight w:val="none"/>
          <w:lang w:val="en-US" w:eastAsia="zh-CN"/>
        </w:rPr>
        <w:t>一、</w:t>
      </w:r>
      <w:r>
        <w:rPr>
          <w:rFonts w:hint="default" w:ascii="黑体" w:hAnsi="Times New Roman" w:eastAsia="黑体" w:cs="Times New Roman"/>
          <w:b w:val="0"/>
          <w:bCs/>
          <w:color w:val="auto"/>
          <w:sz w:val="28"/>
          <w:szCs w:val="32"/>
          <w:highlight w:val="none"/>
        </w:rPr>
        <w:t>货物名称、规格、数量及价格</w:t>
      </w:r>
    </w:p>
    <w:tbl>
      <w:tblPr>
        <w:tblStyle w:val="4"/>
        <w:tblpPr w:leftFromText="180" w:rightFromText="180" w:vertAnchor="text" w:horzAnchor="page" w:tblpX="1835" w:tblpY="313"/>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341"/>
        <w:gridCol w:w="1365"/>
        <w:gridCol w:w="915"/>
        <w:gridCol w:w="1298"/>
        <w:gridCol w:w="1289"/>
        <w:gridCol w:w="1356"/>
      </w:tblGrid>
      <w:tr w14:paraId="4520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23" w:type="dxa"/>
            <w:vAlign w:val="center"/>
          </w:tcPr>
          <w:p w14:paraId="1ED70F0C">
            <w:pPr>
              <w:adjustRightInd w:val="0"/>
              <w:snapToGrid w:val="0"/>
              <w:ind w:firstLine="0" w:firstLineChars="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产品</w:t>
            </w:r>
          </w:p>
          <w:p w14:paraId="13A4F627">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1341" w:type="dxa"/>
            <w:vAlign w:val="center"/>
          </w:tcPr>
          <w:p w14:paraId="4BB21787">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产品规格</w:t>
            </w:r>
          </w:p>
        </w:tc>
        <w:tc>
          <w:tcPr>
            <w:tcW w:w="1365" w:type="dxa"/>
            <w:vAlign w:val="center"/>
          </w:tcPr>
          <w:p w14:paraId="6076B6FE">
            <w:pPr>
              <w:adjustRightInd w:val="0"/>
              <w:snapToGrid w:val="0"/>
              <w:ind w:firstLine="0" w:firstLineChars="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不含税</w:t>
            </w:r>
          </w:p>
          <w:p w14:paraId="02DD7A44">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结算价</w:t>
            </w:r>
          </w:p>
          <w:p w14:paraId="58A01658">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（元/吨）</w:t>
            </w:r>
          </w:p>
        </w:tc>
        <w:tc>
          <w:tcPr>
            <w:tcW w:w="915" w:type="dxa"/>
            <w:vAlign w:val="center"/>
          </w:tcPr>
          <w:p w14:paraId="05CF382D">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税率</w:t>
            </w:r>
          </w:p>
        </w:tc>
        <w:tc>
          <w:tcPr>
            <w:tcW w:w="1298" w:type="dxa"/>
            <w:vAlign w:val="center"/>
          </w:tcPr>
          <w:p w14:paraId="18DB46C0">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含税结算价（元/吨）</w:t>
            </w:r>
          </w:p>
        </w:tc>
        <w:tc>
          <w:tcPr>
            <w:tcW w:w="1289" w:type="dxa"/>
            <w:vAlign w:val="center"/>
          </w:tcPr>
          <w:p w14:paraId="2D85F051">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交货方式</w:t>
            </w:r>
          </w:p>
        </w:tc>
        <w:tc>
          <w:tcPr>
            <w:tcW w:w="1356" w:type="dxa"/>
            <w:vAlign w:val="center"/>
          </w:tcPr>
          <w:p w14:paraId="4A7762CA">
            <w:pPr>
              <w:adjustRightInd w:val="0"/>
              <w:snapToGrid w:val="0"/>
              <w:ind w:firstLine="0" w:firstLineChars="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计划提货</w:t>
            </w:r>
          </w:p>
          <w:p w14:paraId="648CD470">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数量（吨）</w:t>
            </w:r>
          </w:p>
        </w:tc>
      </w:tr>
      <w:tr w14:paraId="426D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23" w:type="dxa"/>
            <w:vAlign w:val="center"/>
          </w:tcPr>
          <w:p w14:paraId="71AB3922">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毛</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石</w:t>
            </w:r>
          </w:p>
        </w:tc>
        <w:tc>
          <w:tcPr>
            <w:tcW w:w="1341" w:type="dxa"/>
            <w:vAlign w:val="center"/>
          </w:tcPr>
          <w:p w14:paraId="309788C9">
            <w:pPr>
              <w:adjustRightInd w:val="0"/>
              <w:snapToGrid w:val="0"/>
              <w:ind w:firstLine="0" w:firstLineChars="0"/>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≤80</w:t>
            </w:r>
            <w:r>
              <w:rPr>
                <w:rFonts w:hint="eastAsia" w:ascii="宋体" w:hAnsi="宋体" w:eastAsia="宋体"/>
                <w:color w:val="auto"/>
                <w:sz w:val="24"/>
                <w:szCs w:val="24"/>
                <w:highlight w:val="none"/>
                <w:lang w:val="en-US" w:eastAsia="zh-CN"/>
              </w:rPr>
              <w:t>公分</w:t>
            </w:r>
          </w:p>
        </w:tc>
        <w:tc>
          <w:tcPr>
            <w:tcW w:w="1365" w:type="dxa"/>
            <w:vAlign w:val="center"/>
          </w:tcPr>
          <w:p w14:paraId="5B86225E">
            <w:pPr>
              <w:adjustRightInd w:val="0"/>
              <w:snapToGrid w:val="0"/>
              <w:ind w:firstLine="0" w:firstLineChars="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48.54</w:t>
            </w:r>
          </w:p>
        </w:tc>
        <w:tc>
          <w:tcPr>
            <w:tcW w:w="915" w:type="dxa"/>
            <w:vAlign w:val="center"/>
          </w:tcPr>
          <w:p w14:paraId="0EDB719B">
            <w:pPr>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1298" w:type="dxa"/>
            <w:vAlign w:val="center"/>
          </w:tcPr>
          <w:p w14:paraId="5C638436">
            <w:pPr>
              <w:ind w:firstLine="0" w:firstLineChars="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50</w:t>
            </w:r>
          </w:p>
        </w:tc>
        <w:tc>
          <w:tcPr>
            <w:tcW w:w="1289" w:type="dxa"/>
            <w:vAlign w:val="center"/>
          </w:tcPr>
          <w:p w14:paraId="68A45C35">
            <w:pPr>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汽运自提</w:t>
            </w:r>
          </w:p>
        </w:tc>
        <w:tc>
          <w:tcPr>
            <w:tcW w:w="1356" w:type="dxa"/>
            <w:vAlign w:val="center"/>
          </w:tcPr>
          <w:p w14:paraId="15CE1B99">
            <w:pPr>
              <w:adjustRightInd w:val="0"/>
              <w:snapToGrid w:val="0"/>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 xml:space="preserve"> 万</w:t>
            </w:r>
          </w:p>
        </w:tc>
      </w:tr>
    </w:tbl>
    <w:p w14:paraId="4CBA802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highlight w:val="none"/>
          <w:lang w:val="en-US" w:eastAsia="zh-CN"/>
        </w:rPr>
      </w:pPr>
      <w:r>
        <w:rPr>
          <w:rFonts w:hint="eastAsia" w:ascii="宋体" w:hAnsi="仿宋_GB2312" w:eastAsia="宋体" w:cs="仿宋_GB2312"/>
          <w:color w:val="000000" w:themeColor="text1"/>
          <w:sz w:val="24"/>
          <w:szCs w:val="32"/>
          <w:highlight w:val="none"/>
          <w14:textFill>
            <w14:solidFill>
              <w14:schemeClr w14:val="tx1"/>
            </w14:solidFill>
          </w14:textFill>
        </w:rPr>
        <w:t>说明：</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本合同项下增值税税率按现行税法规定的 </w:t>
      </w:r>
      <w:r>
        <w:rPr>
          <w:rFonts w:hint="eastAsia" w:ascii="宋体" w:hAnsi="仿宋_GB2312" w:eastAsia="宋体" w:cs="仿宋_GB2312"/>
          <w:b w:val="0"/>
          <w:bCs w:val="0"/>
          <w:i w:val="0"/>
          <w:iCs w:val="0"/>
          <w:caps w:val="0"/>
          <w:color w:val="000000" w:themeColor="text1"/>
          <w:spacing w:val="0"/>
          <w:sz w:val="24"/>
          <w:szCs w:val="32"/>
          <w:highlight w:val="none"/>
          <w:shd w:val="clear"/>
          <w14:textFill>
            <w14:solidFill>
              <w14:schemeClr w14:val="tx1"/>
            </w14:solidFill>
          </w14:textFill>
        </w:rPr>
        <w:t>3%</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 计算，若在合同履行期间，国家增值税税法</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或甲方</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调整税率，自税率调整生效之日起，本合同涉及的增值税税率自动变更为新税率，双方按照新税率计算含税总价，无需另行签订补充协议。</w:t>
      </w:r>
    </w:p>
    <w:p w14:paraId="02182F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highlight w:val="none"/>
          <w:lang w:val="en-US" w:eastAsia="zh-CN"/>
        </w:rPr>
      </w:pPr>
      <w:r>
        <w:rPr>
          <w:rFonts w:hint="eastAsia" w:ascii="宋体" w:hAnsi="仿宋_GB2312" w:eastAsia="宋体" w:cs="仿宋_GB2312"/>
          <w:color w:val="auto"/>
          <w:sz w:val="24"/>
          <w:szCs w:val="32"/>
          <w:highlight w:val="none"/>
          <w:lang w:val="en-US" w:eastAsia="zh-CN"/>
        </w:rPr>
        <w:t>1、上述单价为本合同标的物在卖方矿区内的提货价。上述单价</w:t>
      </w:r>
      <w:r>
        <w:rPr>
          <w:rFonts w:hint="eastAsia" w:ascii="宋体" w:hAnsi="仿宋_GB2312" w:eastAsia="宋体" w:cs="仿宋_GB2312"/>
          <w:color w:val="auto"/>
          <w:sz w:val="24"/>
          <w:szCs w:val="32"/>
          <w:highlight w:val="none"/>
        </w:rPr>
        <w:t>包括货物</w:t>
      </w:r>
      <w:r>
        <w:rPr>
          <w:rFonts w:hint="eastAsia" w:ascii="宋体" w:hAnsi="仿宋_GB2312" w:eastAsia="宋体" w:cs="仿宋_GB2312"/>
          <w:color w:val="auto"/>
          <w:sz w:val="24"/>
          <w:szCs w:val="32"/>
          <w:highlight w:val="none"/>
          <w:lang w:val="en-US" w:eastAsia="zh-CN"/>
        </w:rPr>
        <w:t>装车</w:t>
      </w:r>
      <w:r>
        <w:rPr>
          <w:rFonts w:hint="eastAsia" w:ascii="宋体" w:hAnsi="仿宋_GB2312" w:eastAsia="宋体" w:cs="仿宋_GB2312"/>
          <w:color w:val="auto"/>
          <w:sz w:val="24"/>
          <w:szCs w:val="32"/>
          <w:highlight w:val="none"/>
        </w:rPr>
        <w:t>交货价款、增值税税金</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不包括货物保险费、运输费、装卸费、过江过路过桥费、交通违章罚款、事故赔偿金</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该部分费用买方自理。</w:t>
      </w:r>
    </w:p>
    <w:p w14:paraId="19F2211B">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rPr>
        <w:t>该</w:t>
      </w:r>
      <w:r>
        <w:rPr>
          <w:rFonts w:hint="eastAsia" w:ascii="宋体" w:hAnsi="仿宋_GB2312" w:eastAsia="宋体" w:cs="仿宋_GB2312"/>
          <w:color w:val="auto"/>
          <w:sz w:val="24"/>
          <w:szCs w:val="32"/>
          <w:highlight w:val="none"/>
        </w:rPr>
        <w:t>合同为</w:t>
      </w:r>
      <w:r>
        <w:rPr>
          <w:rFonts w:hint="eastAsia" w:ascii="宋体" w:hAnsi="仿宋_GB2312" w:eastAsia="宋体" w:cs="仿宋_GB2312"/>
          <w:color w:val="000000" w:themeColor="text1"/>
          <w:sz w:val="24"/>
          <w:szCs w:val="32"/>
          <w:highlight w:val="none"/>
          <w:lang w:val="en-US" w:eastAsia="zh-CN"/>
          <w14:textFill>
            <w14:solidFill>
              <w14:schemeClr w14:val="tx1"/>
            </w14:solidFill>
          </w14:textFill>
        </w:rPr>
        <w:t>总</w:t>
      </w:r>
      <w:r>
        <w:rPr>
          <w:rFonts w:hint="eastAsia" w:ascii="宋体" w:hAnsi="仿宋_GB2312" w:eastAsia="宋体" w:cs="仿宋_GB2312"/>
          <w:color w:val="000000" w:themeColor="text1"/>
          <w:sz w:val="24"/>
          <w:szCs w:val="32"/>
          <w:highlight w:val="none"/>
          <w14:textFill>
            <w14:solidFill>
              <w14:schemeClr w14:val="tx1"/>
            </w14:solidFill>
          </w14:textFill>
        </w:rPr>
        <w:t>价合同，</w:t>
      </w:r>
      <w:r>
        <w:rPr>
          <w:rFonts w:hint="eastAsia" w:ascii="宋体" w:hAnsi="仿宋_GB2312" w:eastAsia="宋体" w:cs="仿宋_GB2312"/>
          <w:color w:val="auto"/>
          <w:sz w:val="24"/>
          <w:szCs w:val="32"/>
          <w:highlight w:val="none"/>
        </w:rPr>
        <w:t>结算总金额为本合同标的成交数量乘以</w:t>
      </w:r>
      <w:r>
        <w:rPr>
          <w:rFonts w:hint="eastAsia" w:ascii="宋体" w:hAnsi="仿宋_GB2312" w:eastAsia="宋体" w:cs="仿宋_GB2312"/>
          <w:color w:val="auto"/>
          <w:sz w:val="24"/>
          <w:szCs w:val="32"/>
          <w:highlight w:val="none"/>
          <w:lang w:val="en-US" w:eastAsia="zh-CN"/>
        </w:rPr>
        <w:t>双方确定的单价</w:t>
      </w:r>
      <w:r>
        <w:rPr>
          <w:rFonts w:hint="eastAsia" w:ascii="宋体" w:hAnsi="仿宋_GB2312" w:eastAsia="宋体" w:cs="仿宋_GB2312"/>
          <w:color w:val="auto"/>
          <w:sz w:val="24"/>
          <w:szCs w:val="32"/>
          <w:highlight w:val="none"/>
        </w:rPr>
        <w:t>。成交数量以</w:t>
      </w:r>
      <w:r>
        <w:rPr>
          <w:rFonts w:hint="eastAsia" w:ascii="宋体" w:hAnsi="仿宋_GB2312" w:eastAsia="宋体" w:cs="仿宋_GB2312"/>
          <w:color w:val="auto"/>
          <w:sz w:val="24"/>
          <w:szCs w:val="32"/>
          <w:highlight w:val="none"/>
          <w:lang w:val="en-US" w:eastAsia="zh-CN"/>
        </w:rPr>
        <w:t>双</w:t>
      </w:r>
      <w:r>
        <w:rPr>
          <w:rFonts w:hint="eastAsia" w:ascii="宋体" w:hAnsi="仿宋_GB2312" w:eastAsia="宋体" w:cs="仿宋_GB2312"/>
          <w:color w:val="auto"/>
          <w:sz w:val="24"/>
          <w:szCs w:val="32"/>
          <w:highlight w:val="none"/>
        </w:rPr>
        <w:t>方指定位置的地磅磅单净重量为依据，以双方签章确认的销售单为准。</w:t>
      </w:r>
    </w:p>
    <w:p w14:paraId="0AC9E67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highlight w:val="none"/>
          <w:lang w:val="en-US" w:eastAsia="zh-CN"/>
        </w:rPr>
      </w:pPr>
      <w:r>
        <w:rPr>
          <w:rFonts w:hint="eastAsia" w:ascii="宋体" w:hAnsi="仿宋_GB2312" w:eastAsia="宋体" w:cs="仿宋_GB2312"/>
          <w:strike w:val="0"/>
          <w:color w:val="auto"/>
          <w:sz w:val="24"/>
          <w:szCs w:val="32"/>
          <w:highlight w:val="none"/>
          <w:lang w:val="en-US" w:eastAsia="zh-CN"/>
        </w:rPr>
        <w:t>3、本合同金额以毛石计算，买方如需碎石、机制砂等产品</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应</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另行签订补充协议</w:t>
      </w:r>
      <w:r>
        <w:rPr>
          <w:rFonts w:hint="eastAsia" w:ascii="宋体" w:hAnsi="仿宋_GB2312" w:eastAsia="宋体" w:cs="仿宋_GB2312"/>
          <w:color w:val="auto"/>
          <w:sz w:val="24"/>
          <w:szCs w:val="32"/>
          <w:highlight w:val="none"/>
          <w:lang w:val="en-US" w:eastAsia="zh-CN"/>
        </w:rPr>
        <w:t>。</w:t>
      </w:r>
    </w:p>
    <w:p w14:paraId="39CE7383">
      <w:pPr>
        <w:pStyle w:val="2"/>
        <w:rPr>
          <w:rFonts w:hint="eastAsia" w:ascii="宋体" w:hAnsi="仿宋_GB2312" w:eastAsia="宋体" w:cs="仿宋_GB2312"/>
          <w:b w:val="0"/>
          <w:bCs w:val="0"/>
          <w:color w:val="auto"/>
          <w:kern w:val="2"/>
          <w:szCs w:val="32"/>
          <w:highlight w:val="none"/>
          <w:lang w:val="en-US" w:eastAsia="zh-CN"/>
        </w:rPr>
      </w:pPr>
      <w:r>
        <w:rPr>
          <w:rFonts w:hint="eastAsia" w:ascii="宋体" w:hAnsi="仿宋_GB2312" w:eastAsia="宋体" w:cs="仿宋_GB2312"/>
          <w:b/>
          <w:bCs/>
          <w:color w:val="auto"/>
          <w:kern w:val="2"/>
          <w:szCs w:val="32"/>
          <w:highlight w:val="none"/>
          <w:lang w:val="en-US" w:eastAsia="zh-CN"/>
        </w:rPr>
        <w:t>4</w:t>
      </w:r>
      <w:r>
        <w:rPr>
          <w:rFonts w:hint="eastAsia" w:ascii="宋体" w:hAnsi="仿宋_GB2312" w:eastAsia="宋体" w:cs="仿宋_GB2312"/>
          <w:b w:val="0"/>
          <w:bCs w:val="0"/>
          <w:color w:val="auto"/>
          <w:kern w:val="2"/>
          <w:szCs w:val="32"/>
          <w:highlight w:val="none"/>
          <w:lang w:val="en-US" w:eastAsia="zh-CN"/>
        </w:rPr>
        <w:t>、</w:t>
      </w:r>
      <w:r>
        <w:rPr>
          <w:rFonts w:hint="eastAsia" w:ascii="宋体" w:hAnsi="仿宋_GB2312" w:eastAsia="宋体" w:cs="仿宋_GB2312"/>
          <w:b w:val="0"/>
          <w:bCs w:val="0"/>
          <w:i w:val="0"/>
          <w:iCs w:val="0"/>
          <w:caps w:val="0"/>
          <w:color w:val="auto"/>
          <w:spacing w:val="0"/>
          <w:kern w:val="2"/>
          <w:sz w:val="24"/>
          <w:szCs w:val="32"/>
          <w:highlight w:val="none"/>
          <w:shd w:val="clear"/>
        </w:rPr>
        <w:t>通过海南农村产权交易服务平台产生的</w:t>
      </w:r>
      <w:r>
        <w:rPr>
          <w:rFonts w:hint="eastAsia" w:hAnsi="仿宋_GB2312" w:eastAsia="宋体" w:cs="仿宋_GB2312"/>
          <w:b w:val="0"/>
          <w:bCs w:val="0"/>
          <w:i w:val="0"/>
          <w:iCs w:val="0"/>
          <w:caps w:val="0"/>
          <w:color w:val="auto"/>
          <w:spacing w:val="0"/>
          <w:kern w:val="2"/>
          <w:sz w:val="24"/>
          <w:szCs w:val="32"/>
          <w:highlight w:val="none"/>
          <w:shd w:val="clear"/>
          <w:lang w:val="en-US" w:eastAsia="zh-CN"/>
        </w:rPr>
        <w:t>所有</w:t>
      </w:r>
      <w:r>
        <w:rPr>
          <w:rFonts w:hint="eastAsia" w:ascii="宋体" w:hAnsi="仿宋_GB2312" w:eastAsia="宋体" w:cs="仿宋_GB2312"/>
          <w:b w:val="0"/>
          <w:bCs w:val="0"/>
          <w:i w:val="0"/>
          <w:iCs w:val="0"/>
          <w:caps w:val="0"/>
          <w:color w:val="auto"/>
          <w:spacing w:val="0"/>
          <w:kern w:val="2"/>
          <w:sz w:val="24"/>
          <w:szCs w:val="32"/>
          <w:highlight w:val="none"/>
          <w:shd w:val="clear"/>
        </w:rPr>
        <w:t>相关手续费用由</w:t>
      </w:r>
      <w:r>
        <w:rPr>
          <w:rFonts w:hint="eastAsia" w:hAnsi="仿宋_GB2312" w:eastAsia="宋体" w:cs="仿宋_GB2312"/>
          <w:b w:val="0"/>
          <w:bCs w:val="0"/>
          <w:i w:val="0"/>
          <w:iCs w:val="0"/>
          <w:caps w:val="0"/>
          <w:color w:val="auto"/>
          <w:spacing w:val="0"/>
          <w:kern w:val="2"/>
          <w:sz w:val="24"/>
          <w:szCs w:val="32"/>
          <w:highlight w:val="none"/>
          <w:shd w:val="clear"/>
          <w:lang w:val="en-US" w:eastAsia="zh-CN"/>
        </w:rPr>
        <w:t>卖方</w:t>
      </w:r>
      <w:r>
        <w:rPr>
          <w:rFonts w:hint="eastAsia" w:ascii="宋体" w:hAnsi="仿宋_GB2312" w:eastAsia="宋体" w:cs="仿宋_GB2312"/>
          <w:b w:val="0"/>
          <w:bCs w:val="0"/>
          <w:i w:val="0"/>
          <w:iCs w:val="0"/>
          <w:caps w:val="0"/>
          <w:color w:val="auto"/>
          <w:spacing w:val="0"/>
          <w:kern w:val="2"/>
          <w:sz w:val="24"/>
          <w:szCs w:val="32"/>
          <w:highlight w:val="none"/>
          <w:shd w:val="clear"/>
        </w:rPr>
        <w:t>承担，</w:t>
      </w:r>
      <w:r>
        <w:rPr>
          <w:rFonts w:hint="eastAsia" w:hAnsi="仿宋_GB2312" w:eastAsia="宋体" w:cs="仿宋_GB2312"/>
          <w:b w:val="0"/>
          <w:bCs w:val="0"/>
          <w:i w:val="0"/>
          <w:iCs w:val="0"/>
          <w:caps w:val="0"/>
          <w:color w:val="auto"/>
          <w:spacing w:val="0"/>
          <w:kern w:val="2"/>
          <w:sz w:val="24"/>
          <w:szCs w:val="32"/>
          <w:highlight w:val="none"/>
          <w:shd w:val="clear"/>
          <w:lang w:val="en-US" w:eastAsia="zh-CN"/>
        </w:rPr>
        <w:t>卖方向平台支付</w:t>
      </w:r>
      <w:r>
        <w:rPr>
          <w:rFonts w:hint="eastAsia" w:ascii="宋体" w:hAnsi="仿宋_GB2312" w:eastAsia="宋体" w:cs="仿宋_GB2312"/>
          <w:b w:val="0"/>
          <w:bCs w:val="0"/>
          <w:i w:val="0"/>
          <w:iCs w:val="0"/>
          <w:caps w:val="0"/>
          <w:color w:val="auto"/>
          <w:spacing w:val="0"/>
          <w:kern w:val="2"/>
          <w:sz w:val="24"/>
          <w:szCs w:val="32"/>
          <w:highlight w:val="none"/>
          <w:shd w:val="clear"/>
        </w:rPr>
        <w:t>。</w:t>
      </w:r>
    </w:p>
    <w:p w14:paraId="0FE80DFA">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二、付款</w:t>
      </w:r>
      <w:r>
        <w:rPr>
          <w:rFonts w:hint="eastAsia" w:ascii="黑体" w:hAnsi="Times New Roman" w:eastAsia="黑体" w:cs="Times New Roman"/>
          <w:b w:val="0"/>
          <w:bCs/>
          <w:color w:val="auto"/>
          <w:sz w:val="28"/>
          <w:szCs w:val="32"/>
          <w:highlight w:val="none"/>
          <w:lang w:val="en-US" w:eastAsia="zh-CN"/>
        </w:rPr>
        <w:t>及结算</w:t>
      </w:r>
      <w:r>
        <w:rPr>
          <w:rFonts w:hint="default" w:ascii="黑体" w:hAnsi="Times New Roman" w:eastAsia="黑体" w:cs="Times New Roman"/>
          <w:b w:val="0"/>
          <w:bCs/>
          <w:color w:val="auto"/>
          <w:sz w:val="28"/>
          <w:szCs w:val="32"/>
          <w:highlight w:val="none"/>
          <w:lang w:val="en-US" w:eastAsia="zh-CN"/>
        </w:rPr>
        <w:t>方式</w:t>
      </w:r>
    </w:p>
    <w:p w14:paraId="28660230">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highlight w:val="none"/>
        </w:rPr>
      </w:pPr>
      <w:r>
        <w:rPr>
          <w:rFonts w:hint="eastAsia" w:ascii="黑体" w:hAnsi="仿宋_GB2312" w:eastAsia="黑体" w:cs="仿宋_GB2312"/>
          <w:b w:val="0"/>
          <w:color w:val="auto"/>
          <w:sz w:val="24"/>
          <w:szCs w:val="32"/>
          <w:highlight w:val="none"/>
          <w:lang w:val="en-US" w:eastAsia="zh-CN"/>
        </w:rPr>
        <w:t>1、</w:t>
      </w:r>
      <w:r>
        <w:rPr>
          <w:rFonts w:hint="eastAsia" w:ascii="黑体" w:hAnsi="仿宋_GB2312" w:eastAsia="黑体" w:cs="仿宋_GB2312"/>
          <w:b w:val="0"/>
          <w:color w:val="auto"/>
          <w:sz w:val="24"/>
          <w:szCs w:val="32"/>
          <w:highlight w:val="none"/>
        </w:rPr>
        <w:t>付款</w:t>
      </w:r>
    </w:p>
    <w:p w14:paraId="2A8B739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（1）合同</w:t>
      </w:r>
      <w:r>
        <w:rPr>
          <w:rFonts w:hint="eastAsia" w:ascii="宋体" w:hAnsi="仿宋_GB2312" w:eastAsia="宋体" w:cs="仿宋_GB2312"/>
          <w:color w:val="auto"/>
          <w:sz w:val="24"/>
          <w:szCs w:val="32"/>
          <w:highlight w:val="none"/>
          <w:lang w:val="en-US" w:eastAsia="zh-CN"/>
        </w:rPr>
        <w:t>总</w:t>
      </w:r>
      <w:r>
        <w:rPr>
          <w:rFonts w:hint="eastAsia" w:ascii="宋体" w:hAnsi="仿宋_GB2312" w:eastAsia="宋体" w:cs="仿宋_GB2312"/>
          <w:color w:val="auto"/>
          <w:sz w:val="24"/>
          <w:szCs w:val="32"/>
          <w:highlight w:val="none"/>
        </w:rPr>
        <w:t>金额：人民币</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 xml:space="preserve">元整 （含税金额 </w:t>
      </w:r>
      <w:r>
        <w:rPr>
          <w:rFonts w:hint="eastAsia" w:ascii="宋体" w:hAnsi="仿宋_GB2312" w:eastAsia="宋体" w:cs="仿宋_GB2312"/>
          <w:color w:val="auto"/>
          <w:sz w:val="24"/>
          <w:szCs w:val="32"/>
          <w:highlight w:val="none"/>
          <w:u w:val="single"/>
        </w:rPr>
        <w:t>¥</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，不含税金额</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，增值税金额</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rPr>
        <w:t>）。</w:t>
      </w:r>
      <w:r>
        <w:rPr>
          <w:rFonts w:hint="eastAsia" w:ascii="宋体" w:hAnsi="仿宋_GB2312" w:eastAsia="宋体" w:cs="仿宋_GB2312"/>
          <w:color w:val="auto"/>
          <w:sz w:val="24"/>
          <w:szCs w:val="32"/>
          <w:highlight w:val="none"/>
          <w:lang w:val="en-US" w:eastAsia="zh-CN"/>
        </w:rPr>
        <w:t>2025年7月底起供货，供货周期为一年</w:t>
      </w:r>
    </w:p>
    <w:p w14:paraId="5B1F640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highlight w:val="none"/>
          <w:lang w:val="en-US" w:eastAsia="zh-CN"/>
        </w:rPr>
      </w:pP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本合同执行</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先款后货</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原则</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分期支付，具体如下：</w:t>
      </w:r>
    </w:p>
    <w:p w14:paraId="5A3A88C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i w:val="0"/>
          <w:iCs w:val="0"/>
          <w:caps w:val="0"/>
          <w:color w:val="auto"/>
          <w:spacing w:val="0"/>
          <w:sz w:val="24"/>
          <w:szCs w:val="32"/>
          <w:highlight w:val="none"/>
          <w:shd w:val="clear"/>
        </w:rPr>
      </w:pPr>
      <w:r>
        <w:rPr>
          <w:rFonts w:hint="eastAsia" w:ascii="宋体" w:hAnsi="仿宋_GB2312" w:eastAsia="宋体" w:cs="仿宋_GB2312"/>
          <w:i w:val="0"/>
          <w:iCs w:val="0"/>
          <w:caps w:val="0"/>
          <w:color w:val="auto"/>
          <w:spacing w:val="0"/>
          <w:sz w:val="24"/>
          <w:szCs w:val="32"/>
          <w:highlight w:val="none"/>
          <w:shd w:val="clear"/>
        </w:rPr>
        <w:t>本合同约定首期预付货款为合同成交价的 25%，即人民币伍佰万元整。买方在竞买时需缴纳起拍价的 20%（人民币肆佰万元整）作为交易保证金。本合同签订后，保证金自动转为首期预付货款；买方需在合同签订后 5 个工作日内补足剩余首期预付款（即人民币壹佰万元整）。若买方逾期支付剩余预付款，卖方有权拒绝供货且不承担任何责任。 </w:t>
      </w:r>
    </w:p>
    <w:p w14:paraId="6FFE2FD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pP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后续货款分</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三期</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支付</w:t>
      </w:r>
      <w:r>
        <w:rPr>
          <w:rFonts w:hint="eastAsia" w:ascii="宋体" w:hAnsi="仿宋_GB2312" w:eastAsia="宋体" w:cs="仿宋_GB2312"/>
          <w:i w:val="0"/>
          <w:iCs w:val="0"/>
          <w:caps w:val="0"/>
          <w:color w:val="000000" w:themeColor="text1"/>
          <w:spacing w:val="0"/>
          <w:sz w:val="24"/>
          <w:szCs w:val="32"/>
          <w:highlight w:val="none"/>
          <w:shd w:val="clear"/>
          <w:lang w:eastAsia="zh-CN"/>
          <w14:textFill>
            <w14:solidFill>
              <w14:schemeClr w14:val="tx1"/>
            </w14:solidFill>
          </w14:textFill>
        </w:rPr>
        <w:t>，</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每期人民币伍佰万元整</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：当买方账户余额少于或等于人民币伍拾万元整（¥500,000.00）时，卖方应向买方发出书面付款通知，要求其支付货款人民币</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伍佰</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万元整（¥</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5</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,000,000.00）。买方须于收到该书面付款通知之日起5个工作日内，将前述款项全额支付至卖方指定账户。此付款机制（即余额触发、通知、付款）应持续循环执行，直至买方累计支付至卖方的货款总额达到人民币</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贰</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仟万元整（¥</w:t>
      </w:r>
      <w:r>
        <w:rPr>
          <w:rFonts w:hint="eastAsia" w:ascii="宋体" w:hAnsi="仿宋_GB2312" w:eastAsia="宋体" w:cs="仿宋_GB2312"/>
          <w:i w:val="0"/>
          <w:iCs w:val="0"/>
          <w:caps w:val="0"/>
          <w:color w:val="000000" w:themeColor="text1"/>
          <w:spacing w:val="0"/>
          <w:sz w:val="24"/>
          <w:szCs w:val="32"/>
          <w:highlight w:val="none"/>
          <w:shd w:val="clear"/>
          <w:lang w:val="en-US" w:eastAsia="zh-CN"/>
          <w14:textFill>
            <w14:solidFill>
              <w14:schemeClr w14:val="tx1"/>
            </w14:solidFill>
          </w14:textFill>
        </w:rPr>
        <w:t>2</w:t>
      </w:r>
      <w:r>
        <w:rPr>
          <w:rFonts w:hint="eastAsia" w:ascii="宋体" w:hAnsi="仿宋_GB2312" w:eastAsia="宋体" w:cs="仿宋_GB2312"/>
          <w:i w:val="0"/>
          <w:iCs w:val="0"/>
          <w:caps w:val="0"/>
          <w:color w:val="000000" w:themeColor="text1"/>
          <w:spacing w:val="0"/>
          <w:sz w:val="24"/>
          <w:szCs w:val="32"/>
          <w:highlight w:val="none"/>
          <w:shd w:val="clear"/>
          <w14:textFill>
            <w14:solidFill>
              <w14:schemeClr w14:val="tx1"/>
            </w14:solidFill>
          </w14:textFill>
        </w:rPr>
        <w:t>0,000,000.00）为止。</w:t>
      </w:r>
    </w:p>
    <w:p w14:paraId="0807067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highlight w:val="none"/>
          <w:lang w:val="en-US" w:eastAsia="zh-CN"/>
        </w:rPr>
      </w:pPr>
      <w:r>
        <w:rPr>
          <w:rFonts w:hint="eastAsia" w:ascii="宋体" w:hAnsi="仿宋_GB2312" w:eastAsia="宋体" w:cs="仿宋_GB2312"/>
          <w:color w:val="auto"/>
          <w:sz w:val="24"/>
          <w:szCs w:val="32"/>
          <w:highlight w:val="none"/>
          <w:lang w:val="en-US" w:eastAsia="zh-CN"/>
        </w:rPr>
        <w:t>（3）买方应在约定时间将货款通过银行转账方式支付至下列账户：</w:t>
      </w:r>
    </w:p>
    <w:p w14:paraId="7D62590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开户名称：</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三亚城投众辉新型建材有限公司</w:t>
      </w:r>
      <w:r>
        <w:rPr>
          <w:rFonts w:hint="eastAsia" w:ascii="宋体" w:hAnsi="仿宋_GB2312" w:eastAsia="宋体" w:cs="仿宋_GB2312"/>
          <w:color w:val="auto"/>
          <w:sz w:val="24"/>
          <w:szCs w:val="32"/>
          <w:highlight w:val="none"/>
          <w:u w:val="single"/>
        </w:rPr>
        <w:t xml:space="preserve">      </w:t>
      </w:r>
    </w:p>
    <w:p w14:paraId="5EB5CF1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rPr>
      </w:pPr>
      <w:r>
        <w:rPr>
          <w:rFonts w:hint="eastAsia" w:ascii="宋体" w:hAnsi="仿宋_GB2312" w:eastAsia="宋体" w:cs="仿宋_GB2312"/>
          <w:color w:val="auto"/>
          <w:sz w:val="24"/>
          <w:szCs w:val="32"/>
          <w:highlight w:val="none"/>
        </w:rPr>
        <w:t>开</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户</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行：</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中国银行三亚崖州科技支行</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 xml:space="preserve">     </w:t>
      </w:r>
    </w:p>
    <w:p w14:paraId="51BF777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rPr>
      </w:pPr>
      <w:r>
        <w:rPr>
          <w:rFonts w:hint="eastAsia" w:ascii="宋体" w:hAnsi="仿宋_GB2312" w:eastAsia="宋体" w:cs="仿宋_GB2312"/>
          <w:color w:val="auto"/>
          <w:sz w:val="24"/>
          <w:szCs w:val="32"/>
          <w:highlight w:val="none"/>
        </w:rPr>
        <w:t>账</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号：</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rPr>
        <w:t>266290445664</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 xml:space="preserve">     </w:t>
      </w:r>
    </w:p>
    <w:p w14:paraId="6AFA71B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highlight w:val="none"/>
        </w:rPr>
      </w:pPr>
      <w:r>
        <w:rPr>
          <w:rFonts w:hint="eastAsia" w:ascii="黑体" w:hAnsi="仿宋_GB2312" w:eastAsia="黑体" w:cs="仿宋_GB2312"/>
          <w:b w:val="0"/>
          <w:color w:val="auto"/>
          <w:sz w:val="24"/>
          <w:szCs w:val="32"/>
          <w:highlight w:val="none"/>
          <w:lang w:val="en-US" w:eastAsia="zh-CN"/>
        </w:rPr>
        <w:t>2、</w:t>
      </w:r>
      <w:r>
        <w:rPr>
          <w:rFonts w:hint="eastAsia" w:ascii="黑体" w:hAnsi="仿宋_GB2312" w:eastAsia="黑体" w:cs="仿宋_GB2312"/>
          <w:b w:val="0"/>
          <w:color w:val="auto"/>
          <w:sz w:val="24"/>
          <w:szCs w:val="32"/>
          <w:highlight w:val="none"/>
        </w:rPr>
        <w:t>发票</w:t>
      </w:r>
    </w:p>
    <w:p w14:paraId="03DEB89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卖方向买方提供合规增值税发票，并按实际提供货物情况，准确填写发票项目。</w:t>
      </w:r>
    </w:p>
    <w:p w14:paraId="488DA26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highlight w:val="none"/>
          <w:lang w:val="en-US" w:eastAsia="zh-CN"/>
        </w:rPr>
      </w:pPr>
      <w:r>
        <w:rPr>
          <w:rFonts w:hint="eastAsia" w:ascii="黑体" w:hAnsi="仿宋_GB2312" w:eastAsia="黑体" w:cs="仿宋_GB2312"/>
          <w:b w:val="0"/>
          <w:color w:val="auto"/>
          <w:sz w:val="24"/>
          <w:szCs w:val="32"/>
          <w:highlight w:val="none"/>
          <w:lang w:val="en-US" w:eastAsia="zh-CN"/>
        </w:rPr>
        <w:t>3、结算方式</w:t>
      </w:r>
    </w:p>
    <w:p w14:paraId="3F44F624">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right="0" w:rightChars="0"/>
        <w:jc w:val="both"/>
        <w:textAlignment w:val="auto"/>
        <w:outlineLvl w:val="1"/>
        <w:rPr>
          <w:rFonts w:hint="default" w:ascii="黑体" w:hAnsi="仿宋_GB2312" w:eastAsia="黑体" w:cs="仿宋_GB2312"/>
          <w:b w:val="0"/>
          <w:color w:val="0000FF"/>
          <w:sz w:val="24"/>
          <w:szCs w:val="32"/>
          <w:highlight w:val="none"/>
          <w:lang w:val="en-US" w:eastAsia="zh-CN"/>
        </w:rPr>
      </w:pPr>
      <w:r>
        <w:rPr>
          <w:rFonts w:hint="eastAsia" w:ascii="黑体" w:hAnsi="仿宋_GB2312" w:eastAsia="黑体" w:cs="仿宋_GB2312"/>
          <w:b w:val="0"/>
          <w:color w:val="0000FF"/>
          <w:sz w:val="24"/>
          <w:szCs w:val="32"/>
          <w:highlight w:val="none"/>
          <w:lang w:val="en-US" w:eastAsia="zh-CN"/>
        </w:rPr>
        <w:t xml:space="preserve">    </w:t>
      </w:r>
      <w:r>
        <w:rPr>
          <w:rFonts w:hint="eastAsia" w:ascii="宋体" w:hAnsi="仿宋_GB2312" w:eastAsia="宋体" w:cs="仿宋_GB2312"/>
          <w:color w:val="auto"/>
          <w:sz w:val="24"/>
          <w:szCs w:val="32"/>
          <w:highlight w:val="none"/>
          <w:lang w:val="en-US" w:eastAsia="zh-CN"/>
        </w:rPr>
        <w:t>每月最后一日为结算截止日，即本月1日至本月最后一日为一个结算周期，次月1日前双方核对卖方系统出具的对账单完成上一个结算周期内实际交易的数量及金额的结算</w:t>
      </w:r>
    </w:p>
    <w:p w14:paraId="1F3A5A3C">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highlight w:val="none"/>
        </w:rPr>
      </w:pPr>
      <w:r>
        <w:rPr>
          <w:rFonts w:hint="eastAsia" w:ascii="黑体" w:hAnsi="仿宋_GB2312" w:eastAsia="黑体" w:cs="仿宋_GB2312"/>
          <w:b w:val="0"/>
          <w:color w:val="auto"/>
          <w:sz w:val="24"/>
          <w:szCs w:val="32"/>
          <w:highlight w:val="none"/>
          <w:lang w:val="en-US" w:eastAsia="zh-CN"/>
        </w:rPr>
        <w:t>4、</w:t>
      </w:r>
      <w:r>
        <w:rPr>
          <w:rFonts w:hint="eastAsia" w:ascii="黑体" w:hAnsi="仿宋_GB2312" w:eastAsia="黑体" w:cs="仿宋_GB2312"/>
          <w:b w:val="0"/>
          <w:color w:val="auto"/>
          <w:sz w:val="24"/>
          <w:szCs w:val="32"/>
          <w:highlight w:val="none"/>
        </w:rPr>
        <w:t>退款</w:t>
      </w:r>
    </w:p>
    <w:p w14:paraId="59791CD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当出现以下情况（包括但不限于）致使本合同约定之目的无法达成：（1）</w:t>
      </w:r>
      <w:r>
        <w:rPr>
          <w:rFonts w:hint="eastAsia" w:ascii="宋体" w:hAnsi="仿宋_GB2312" w:eastAsia="宋体" w:cs="仿宋_GB2312"/>
          <w:color w:val="auto"/>
          <w:sz w:val="24"/>
          <w:szCs w:val="32"/>
          <w:highlight w:val="none"/>
          <w:lang w:val="en-US" w:eastAsia="zh-CN"/>
        </w:rPr>
        <w:t>双方协商解除合同</w:t>
      </w:r>
      <w:r>
        <w:rPr>
          <w:rFonts w:hint="eastAsia" w:ascii="宋体" w:hAnsi="仿宋_GB2312" w:eastAsia="宋体" w:cs="仿宋_GB2312"/>
          <w:color w:val="auto"/>
          <w:sz w:val="24"/>
          <w:szCs w:val="32"/>
          <w:highlight w:val="none"/>
        </w:rPr>
        <w:t>；（</w:t>
      </w: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rPr>
        <w:t>）不可抗力致使本合同无法继续履行等情况。</w:t>
      </w:r>
      <w:r>
        <w:rPr>
          <w:rFonts w:hint="eastAsia" w:ascii="宋体" w:hAnsi="仿宋_GB2312" w:eastAsia="宋体" w:cs="仿宋_GB2312"/>
          <w:color w:val="auto"/>
          <w:sz w:val="24"/>
          <w:szCs w:val="32"/>
          <w:highlight w:val="none"/>
          <w:lang w:val="en-US" w:eastAsia="zh-CN"/>
        </w:rPr>
        <w:t>发生上述情况</w:t>
      </w:r>
      <w:r>
        <w:rPr>
          <w:rFonts w:hint="eastAsia" w:ascii="宋体" w:hAnsi="仿宋_GB2312" w:eastAsia="宋体" w:cs="仿宋_GB2312"/>
          <w:color w:val="auto"/>
          <w:sz w:val="24"/>
          <w:szCs w:val="32"/>
          <w:highlight w:val="none"/>
        </w:rPr>
        <w:t>买卖双方对已完成部分进行结算，如买方尚有预付款，卖方在</w:t>
      </w:r>
      <w:r>
        <w:rPr>
          <w:rFonts w:hint="eastAsia" w:ascii="宋体" w:hAnsi="仿宋_GB2312" w:eastAsia="宋体" w:cs="仿宋_GB2312"/>
          <w:color w:val="auto"/>
          <w:sz w:val="24"/>
          <w:szCs w:val="32"/>
          <w:highlight w:val="none"/>
          <w:lang w:val="en-US" w:eastAsia="zh-CN"/>
        </w:rPr>
        <w:t>10</w:t>
      </w:r>
      <w:r>
        <w:rPr>
          <w:rFonts w:hint="eastAsia" w:ascii="宋体" w:hAnsi="仿宋_GB2312" w:eastAsia="宋体" w:cs="仿宋_GB2312"/>
          <w:color w:val="auto"/>
          <w:sz w:val="24"/>
          <w:szCs w:val="32"/>
          <w:highlight w:val="none"/>
        </w:rPr>
        <w:t>个工作日内将剩余预付款无息返还至买方银行账户；如买方尚有欠款，买方在</w:t>
      </w:r>
      <w:r>
        <w:rPr>
          <w:rFonts w:hint="eastAsia" w:ascii="宋体" w:hAnsi="仿宋_GB2312" w:eastAsia="宋体" w:cs="仿宋_GB2312"/>
          <w:color w:val="auto"/>
          <w:sz w:val="24"/>
          <w:szCs w:val="32"/>
          <w:highlight w:val="none"/>
          <w:lang w:val="en-US" w:eastAsia="zh-CN"/>
        </w:rPr>
        <w:t>10</w:t>
      </w:r>
      <w:r>
        <w:rPr>
          <w:rFonts w:hint="eastAsia" w:ascii="宋体" w:hAnsi="仿宋_GB2312" w:eastAsia="宋体" w:cs="仿宋_GB2312"/>
          <w:color w:val="auto"/>
          <w:sz w:val="24"/>
          <w:szCs w:val="32"/>
          <w:highlight w:val="none"/>
        </w:rPr>
        <w:t>个工作日内将欠款转账至卖方指定银行账户</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逾期</w:t>
      </w:r>
      <w:r>
        <w:rPr>
          <w:rFonts w:hint="eastAsia" w:ascii="宋体" w:hAnsi="仿宋_GB2312" w:eastAsia="宋体" w:cs="仿宋_GB2312"/>
          <w:color w:val="auto"/>
          <w:sz w:val="24"/>
          <w:szCs w:val="32"/>
          <w:highlight w:val="none"/>
          <w:lang w:val="en-US" w:eastAsia="zh-CN"/>
        </w:rPr>
        <w:t>退款或</w:t>
      </w:r>
      <w:r>
        <w:rPr>
          <w:rFonts w:hint="eastAsia" w:ascii="宋体" w:hAnsi="仿宋_GB2312" w:eastAsia="宋体" w:cs="仿宋_GB2312"/>
          <w:color w:val="auto"/>
          <w:sz w:val="24"/>
          <w:szCs w:val="32"/>
          <w:highlight w:val="none"/>
        </w:rPr>
        <w:t>付款时</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违约方</w:t>
      </w:r>
      <w:r>
        <w:rPr>
          <w:rFonts w:hint="eastAsia" w:ascii="宋体" w:hAnsi="仿宋_GB2312" w:eastAsia="宋体" w:cs="仿宋_GB2312"/>
          <w:color w:val="auto"/>
          <w:sz w:val="24"/>
          <w:szCs w:val="32"/>
          <w:highlight w:val="none"/>
        </w:rPr>
        <w:t>按照拖延支付货款期间的银行同期贷款利率向</w:t>
      </w:r>
      <w:r>
        <w:rPr>
          <w:rFonts w:hint="eastAsia" w:ascii="宋体" w:hAnsi="仿宋_GB2312" w:eastAsia="宋体" w:cs="仿宋_GB2312"/>
          <w:color w:val="auto"/>
          <w:sz w:val="24"/>
          <w:szCs w:val="32"/>
          <w:highlight w:val="none"/>
          <w:lang w:val="en-US" w:eastAsia="zh-CN"/>
        </w:rPr>
        <w:t>守约方</w:t>
      </w:r>
      <w:r>
        <w:rPr>
          <w:rFonts w:hint="eastAsia" w:ascii="宋体" w:hAnsi="仿宋_GB2312" w:eastAsia="宋体" w:cs="仿宋_GB2312"/>
          <w:color w:val="auto"/>
          <w:sz w:val="24"/>
          <w:szCs w:val="32"/>
          <w:highlight w:val="none"/>
        </w:rPr>
        <w:t>承担违约责任（以全国银行</w:t>
      </w:r>
      <w:r>
        <w:rPr>
          <w:rFonts w:hint="eastAsia" w:ascii="宋体" w:hAnsi="仿宋_GB2312" w:eastAsia="宋体" w:cs="仿宋_GB2312"/>
          <w:color w:val="auto"/>
          <w:sz w:val="24"/>
          <w:szCs w:val="32"/>
          <w:highlight w:val="none"/>
          <w:lang w:val="en-US" w:eastAsia="zh-CN"/>
        </w:rPr>
        <w:t>间</w:t>
      </w:r>
      <w:r>
        <w:rPr>
          <w:rFonts w:hint="eastAsia" w:ascii="宋体" w:hAnsi="仿宋_GB2312" w:eastAsia="宋体" w:cs="仿宋_GB2312"/>
          <w:color w:val="auto"/>
          <w:sz w:val="24"/>
          <w:szCs w:val="32"/>
          <w:highlight w:val="none"/>
        </w:rPr>
        <w:t>同业拆借中心公布的贷款市场报价利率为准）。</w:t>
      </w:r>
    </w:p>
    <w:p w14:paraId="0F0AC68F">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三、</w:t>
      </w:r>
      <w:r>
        <w:rPr>
          <w:rFonts w:hint="default" w:ascii="黑体" w:hAnsi="Times New Roman" w:eastAsia="黑体" w:cs="Times New Roman"/>
          <w:b w:val="0"/>
          <w:bCs/>
          <w:color w:val="auto"/>
          <w:sz w:val="28"/>
          <w:szCs w:val="32"/>
          <w:highlight w:val="none"/>
        </w:rPr>
        <w:t>货物品质</w:t>
      </w:r>
    </w:p>
    <w:p w14:paraId="428ECB7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val="en-US" w:eastAsia="zh-CN"/>
        </w:rPr>
        <w:t>卖方岩石抗压强度</w:t>
      </w:r>
      <w:r>
        <w:rPr>
          <w:rFonts w:hint="eastAsia" w:ascii="宋体" w:hAnsi="仿宋_GB2312" w:eastAsia="宋体" w:cs="仿宋_GB2312"/>
          <w:color w:val="000000" w:themeColor="text1"/>
          <w:sz w:val="24"/>
          <w:szCs w:val="32"/>
          <w:highlight w:val="none"/>
          <w:lang w:val="en-US" w:eastAsia="zh-CN"/>
          <w14:textFill>
            <w14:solidFill>
              <w14:schemeClr w14:val="tx1"/>
            </w14:solidFill>
          </w14:textFill>
        </w:rPr>
        <w:t>应≥50MPA且</w:t>
      </w:r>
      <w:r>
        <w:rPr>
          <w:rFonts w:hint="eastAsia" w:ascii="宋体" w:hAnsi="仿宋_GB2312" w:eastAsia="宋体" w:cs="仿宋_GB2312"/>
          <w:color w:val="auto"/>
          <w:sz w:val="24"/>
          <w:szCs w:val="32"/>
          <w:highlight w:val="none"/>
          <w:lang w:val="en-US" w:eastAsia="zh-CN"/>
        </w:rPr>
        <w:t>按照相关行业规范自行保证出厂品质，</w:t>
      </w:r>
      <w:r>
        <w:rPr>
          <w:rFonts w:hint="eastAsia" w:ascii="宋体" w:hAnsi="仿宋_GB2312" w:eastAsia="宋体" w:cs="仿宋_GB2312"/>
          <w:color w:val="auto"/>
          <w:sz w:val="24"/>
          <w:szCs w:val="32"/>
          <w:highlight w:val="none"/>
        </w:rPr>
        <w:t>买方</w:t>
      </w:r>
      <w:r>
        <w:rPr>
          <w:rFonts w:hint="eastAsia" w:ascii="宋体" w:hAnsi="仿宋_GB2312" w:eastAsia="宋体" w:cs="仿宋_GB2312"/>
          <w:color w:val="auto"/>
          <w:sz w:val="24"/>
          <w:szCs w:val="32"/>
          <w:highlight w:val="none"/>
          <w:lang w:val="en-US" w:eastAsia="zh-CN"/>
        </w:rPr>
        <w:t>可</w:t>
      </w:r>
      <w:r>
        <w:rPr>
          <w:rFonts w:hint="eastAsia" w:ascii="宋体" w:hAnsi="仿宋_GB2312" w:eastAsia="宋体" w:cs="仿宋_GB2312"/>
          <w:color w:val="auto"/>
          <w:sz w:val="24"/>
          <w:szCs w:val="32"/>
          <w:highlight w:val="none"/>
        </w:rPr>
        <w:t>自行到现场取样确定，卖方不提供货物品质相关方面的证明、检测报告、承诺书等资料。</w:t>
      </w:r>
      <w:r>
        <w:rPr>
          <w:rFonts w:hint="eastAsia" w:ascii="宋体" w:hAnsi="仿宋_GB2312" w:eastAsia="宋体" w:cs="仿宋_GB2312"/>
          <w:color w:val="auto"/>
          <w:sz w:val="24"/>
          <w:szCs w:val="32"/>
          <w:highlight w:val="none"/>
          <w:lang w:val="en-US" w:eastAsia="zh-CN"/>
        </w:rPr>
        <w:t>卖</w:t>
      </w:r>
      <w:r>
        <w:rPr>
          <w:rFonts w:hint="eastAsia" w:ascii="宋体" w:hAnsi="仿宋_GB2312" w:eastAsia="宋体" w:cs="仿宋_GB2312"/>
          <w:color w:val="auto"/>
          <w:sz w:val="24"/>
          <w:szCs w:val="32"/>
          <w:highlight w:val="none"/>
        </w:rPr>
        <w:t>方</w:t>
      </w:r>
      <w:r>
        <w:rPr>
          <w:rFonts w:hint="eastAsia" w:ascii="宋体" w:hAnsi="仿宋_GB2312" w:eastAsia="宋体" w:cs="仿宋_GB2312"/>
          <w:color w:val="auto"/>
          <w:sz w:val="24"/>
          <w:szCs w:val="32"/>
          <w:highlight w:val="none"/>
          <w:lang w:val="en-US" w:eastAsia="zh-CN"/>
        </w:rPr>
        <w:t>依据买方的货品要求进行装车，</w:t>
      </w:r>
      <w:r>
        <w:rPr>
          <w:rFonts w:hint="eastAsia" w:ascii="宋体" w:hAnsi="仿宋_GB2312" w:eastAsia="宋体" w:cs="仿宋_GB2312"/>
          <w:color w:val="auto"/>
          <w:sz w:val="24"/>
          <w:szCs w:val="32"/>
          <w:highlight w:val="none"/>
        </w:rPr>
        <w:t>对货物装车完成后，货物</w:t>
      </w:r>
      <w:r>
        <w:rPr>
          <w:rFonts w:hint="eastAsia" w:ascii="宋体" w:hAnsi="仿宋_GB2312" w:eastAsia="宋体" w:cs="仿宋_GB2312"/>
          <w:color w:val="auto"/>
          <w:sz w:val="24"/>
          <w:szCs w:val="32"/>
          <w:highlight w:val="none"/>
          <w:lang w:val="en-US" w:eastAsia="zh-CN"/>
        </w:rPr>
        <w:t>自装车后风险发生转移，</w:t>
      </w:r>
      <w:r>
        <w:rPr>
          <w:rFonts w:hint="eastAsia" w:ascii="宋体" w:hAnsi="仿宋_GB2312" w:eastAsia="宋体" w:cs="仿宋_GB2312"/>
          <w:color w:val="auto"/>
          <w:sz w:val="24"/>
          <w:szCs w:val="32"/>
          <w:highlight w:val="none"/>
        </w:rPr>
        <w:t>在运输途中的一切责任和损失由买方自行承担</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如因货品达不到买方要求双方现场协商处理。</w:t>
      </w:r>
    </w:p>
    <w:p w14:paraId="2756F1CC">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四、</w:t>
      </w:r>
      <w:r>
        <w:rPr>
          <w:rFonts w:hint="default" w:ascii="黑体" w:hAnsi="Times New Roman" w:eastAsia="黑体" w:cs="Times New Roman"/>
          <w:b w:val="0"/>
          <w:bCs/>
          <w:color w:val="auto"/>
          <w:sz w:val="28"/>
          <w:szCs w:val="32"/>
          <w:highlight w:val="none"/>
        </w:rPr>
        <w:t>提货地点、提货方式和计量方式</w:t>
      </w:r>
    </w:p>
    <w:p w14:paraId="243835D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lang w:val="en-US" w:eastAsia="zh-CN"/>
        </w:rPr>
      </w:pPr>
      <w:r>
        <w:rPr>
          <w:rFonts w:hint="eastAsia" w:ascii="宋体" w:hAnsi="仿宋_GB2312" w:eastAsia="宋体" w:cs="仿宋_GB2312"/>
          <w:color w:val="auto"/>
          <w:sz w:val="24"/>
          <w:szCs w:val="32"/>
          <w:highlight w:val="none"/>
          <w:lang w:val="en-US" w:eastAsia="zh-CN"/>
        </w:rPr>
        <w:t>1、</w:t>
      </w:r>
      <w:r>
        <w:rPr>
          <w:rFonts w:hint="eastAsia" w:ascii="宋体" w:hAnsi="仿宋_GB2312" w:eastAsia="宋体" w:cs="仿宋_GB2312"/>
          <w:color w:val="auto"/>
          <w:sz w:val="24"/>
          <w:szCs w:val="32"/>
          <w:highlight w:val="none"/>
        </w:rPr>
        <w:t>买方指定</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single"/>
        </w:rPr>
        <w:t xml:space="preserve"> </w:t>
      </w:r>
      <w:r>
        <w:rPr>
          <w:rFonts w:hint="eastAsia" w:ascii="宋体" w:hAnsi="仿宋_GB2312" w:eastAsia="宋体" w:cs="仿宋_GB2312"/>
          <w:color w:val="auto"/>
          <w:sz w:val="24"/>
          <w:szCs w:val="32"/>
          <w:highlight w:val="none"/>
        </w:rPr>
        <w:t>为现场负责人，</w:t>
      </w:r>
      <w:r>
        <w:rPr>
          <w:rFonts w:hint="eastAsia" w:ascii="宋体" w:hAnsi="仿宋_GB2312" w:eastAsia="宋体" w:cs="仿宋_GB2312"/>
          <w:color w:val="auto"/>
          <w:sz w:val="24"/>
          <w:szCs w:val="32"/>
          <w:highlight w:val="none"/>
          <w:lang w:val="en-US" w:eastAsia="zh-CN"/>
        </w:rPr>
        <w:t>现场负责人联系方式：</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u w:val="none"/>
          <w:lang w:val="en-US" w:eastAsia="zh-CN"/>
        </w:rPr>
        <w:t>，</w:t>
      </w:r>
      <w:r>
        <w:rPr>
          <w:rFonts w:hint="eastAsia" w:ascii="宋体" w:hAnsi="仿宋_GB2312" w:eastAsia="宋体" w:cs="仿宋_GB2312"/>
          <w:color w:val="auto"/>
          <w:sz w:val="24"/>
          <w:szCs w:val="32"/>
          <w:highlight w:val="none"/>
          <w:lang w:val="en-US" w:eastAsia="zh-CN"/>
        </w:rPr>
        <w:t>身份证号：</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highlight w:val="none"/>
        </w:rPr>
        <w:t>负责人有权处理现场一切事务，包括：到卖方施工现场进行统一提货；对进入卖方场地内的人员、机械、车辆统一管理、指挥和调度。买方更改现场负责人，应提前3天通知卖方，同时并将更改后的现场负责人信息提供卖方备案。</w:t>
      </w:r>
    </w:p>
    <w:p w14:paraId="1308D32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rPr>
        <w:t>买方需向卖方报送货物需求计划</w:t>
      </w:r>
      <w:r>
        <w:rPr>
          <w:rFonts w:hint="eastAsia" w:ascii="宋体" w:hAnsi="仿宋_GB2312" w:eastAsia="宋体" w:cs="仿宋_GB2312"/>
          <w:color w:val="auto"/>
          <w:sz w:val="24"/>
          <w:szCs w:val="32"/>
          <w:highlight w:val="none"/>
          <w:lang w:val="en-US" w:eastAsia="zh-CN"/>
        </w:rPr>
        <w:t>及产品规格要求</w:t>
      </w:r>
      <w:r>
        <w:rPr>
          <w:rFonts w:hint="eastAsia" w:ascii="宋体" w:hAnsi="仿宋_GB2312" w:eastAsia="宋体" w:cs="仿宋_GB2312"/>
          <w:color w:val="auto"/>
          <w:sz w:val="24"/>
          <w:szCs w:val="32"/>
          <w:highlight w:val="none"/>
        </w:rPr>
        <w:t>，报送循环周期为五个日历天，内容包括每日货物需求种类</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需求量</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产品规格</w:t>
      </w:r>
      <w:r>
        <w:rPr>
          <w:rFonts w:hint="eastAsia" w:ascii="宋体" w:hAnsi="仿宋_GB2312" w:eastAsia="宋体" w:cs="仿宋_GB2312"/>
          <w:color w:val="auto"/>
          <w:sz w:val="24"/>
          <w:szCs w:val="32"/>
          <w:highlight w:val="none"/>
        </w:rPr>
        <w:t>等。卖方结合生产情况与销售情况有权对买方报送的需求计划进行调整，买方不得有异议。</w:t>
      </w:r>
    </w:p>
    <w:p w14:paraId="05B6787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val="en-US" w:eastAsia="zh-CN"/>
        </w:rPr>
        <w:t>3、</w:t>
      </w:r>
      <w:r>
        <w:rPr>
          <w:rFonts w:hint="eastAsia" w:ascii="宋体" w:hAnsi="仿宋_GB2312" w:eastAsia="宋体" w:cs="仿宋_GB2312"/>
          <w:color w:val="auto"/>
          <w:sz w:val="24"/>
          <w:szCs w:val="32"/>
          <w:highlight w:val="none"/>
        </w:rPr>
        <w:t>提货方式：卖方指定地点装车</w:t>
      </w:r>
      <w:r>
        <w:rPr>
          <w:rFonts w:hint="eastAsia" w:ascii="宋体" w:hAnsi="仿宋_GB2312" w:eastAsia="宋体" w:cs="仿宋_GB2312"/>
          <w:color w:val="auto"/>
          <w:sz w:val="24"/>
          <w:szCs w:val="32"/>
          <w:highlight w:val="none"/>
          <w:lang w:val="en-US" w:eastAsia="zh-CN"/>
        </w:rPr>
        <w:t>后</w:t>
      </w:r>
      <w:r>
        <w:rPr>
          <w:rFonts w:hint="eastAsia" w:ascii="宋体" w:hAnsi="仿宋_GB2312" w:eastAsia="宋体" w:cs="仿宋_GB2312"/>
          <w:color w:val="auto"/>
          <w:sz w:val="24"/>
          <w:szCs w:val="32"/>
          <w:highlight w:val="none"/>
        </w:rPr>
        <w:t>买方组织的人员、机械、车辆必须无条件服从卖方施工现场的统一管理，不得与卖方的生产相抵触。</w:t>
      </w:r>
    </w:p>
    <w:p w14:paraId="0400E29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u w:val="single"/>
        </w:rPr>
      </w:pPr>
      <w:r>
        <w:rPr>
          <w:rFonts w:hint="eastAsia" w:ascii="宋体" w:hAnsi="仿宋_GB2312" w:eastAsia="宋体" w:cs="仿宋_GB2312"/>
          <w:color w:val="auto"/>
          <w:sz w:val="24"/>
          <w:szCs w:val="32"/>
          <w:highlight w:val="none"/>
          <w:lang w:val="en-US" w:eastAsia="zh-CN"/>
        </w:rPr>
        <w:t>4、</w:t>
      </w:r>
      <w:r>
        <w:rPr>
          <w:rFonts w:hint="eastAsia" w:ascii="宋体" w:hAnsi="仿宋_GB2312" w:eastAsia="宋体" w:cs="仿宋_GB2312"/>
          <w:color w:val="auto"/>
          <w:sz w:val="24"/>
          <w:szCs w:val="32"/>
          <w:highlight w:val="none"/>
          <w:u w:val="single"/>
        </w:rPr>
        <w:t>提货地点：</w:t>
      </w:r>
      <w:r>
        <w:rPr>
          <w:rFonts w:hint="eastAsia" w:ascii="宋体" w:hAnsi="仿宋_GB2312" w:eastAsia="宋体" w:cs="仿宋_GB2312"/>
          <w:color w:val="auto"/>
          <w:sz w:val="24"/>
          <w:szCs w:val="32"/>
          <w:highlight w:val="none"/>
          <w:u w:val="single"/>
          <w:lang w:val="en-US" w:eastAsia="zh-CN"/>
        </w:rPr>
        <w:t>三亚市崖州“红岩队-抱古村”建筑用石料矿项目</w:t>
      </w:r>
      <w:r>
        <w:rPr>
          <w:rFonts w:hint="eastAsia" w:ascii="宋体" w:hAnsi="仿宋_GB2312" w:eastAsia="宋体" w:cs="仿宋_GB2312"/>
          <w:color w:val="auto"/>
          <w:sz w:val="24"/>
          <w:szCs w:val="32"/>
          <w:highlight w:val="none"/>
          <w:u w:val="single"/>
        </w:rPr>
        <w:t xml:space="preserve"> </w:t>
      </w:r>
    </w:p>
    <w:p w14:paraId="6B8D413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val="en-US" w:eastAsia="zh-CN"/>
        </w:rPr>
        <w:t>5、</w:t>
      </w:r>
      <w:r>
        <w:rPr>
          <w:rFonts w:hint="eastAsia" w:ascii="宋体" w:hAnsi="仿宋_GB2312" w:eastAsia="宋体" w:cs="仿宋_GB2312"/>
          <w:color w:val="auto"/>
          <w:sz w:val="24"/>
          <w:szCs w:val="32"/>
          <w:highlight w:val="none"/>
        </w:rPr>
        <w:t>买方组织的人员、机械、车辆等在场内及场外道路运输等为完成本合同目的所实施行为，如发生任何人员、机械、车辆交通违章行政处罚、环境影响、安全事故等行为造成自身及第三人的人身及财产损失均与卖方无关，由买方独自承担行政、刑事、民事责任并独自赔（补）偿损失。</w:t>
      </w:r>
    </w:p>
    <w:p w14:paraId="76DAFFC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val="en-US" w:eastAsia="zh-CN"/>
        </w:rPr>
        <w:t>6、</w:t>
      </w:r>
      <w:r>
        <w:rPr>
          <w:rFonts w:hint="eastAsia" w:ascii="宋体" w:hAnsi="仿宋_GB2312" w:eastAsia="宋体" w:cs="仿宋_GB2312"/>
          <w:color w:val="auto"/>
          <w:sz w:val="24"/>
          <w:szCs w:val="32"/>
          <w:highlight w:val="none"/>
        </w:rPr>
        <w:t>计量方式以卖方指定位置的地磅磅单净重量为依据，以双方签章确认的销售单为准。</w:t>
      </w:r>
    </w:p>
    <w:p w14:paraId="04B749E1">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五、</w:t>
      </w:r>
      <w:r>
        <w:rPr>
          <w:rFonts w:hint="default" w:ascii="黑体" w:hAnsi="Times New Roman" w:eastAsia="黑体" w:cs="Times New Roman"/>
          <w:b w:val="0"/>
          <w:bCs/>
          <w:color w:val="auto"/>
          <w:sz w:val="28"/>
          <w:szCs w:val="32"/>
          <w:highlight w:val="none"/>
        </w:rPr>
        <w:t>供货方式</w:t>
      </w:r>
    </w:p>
    <w:p w14:paraId="75F41EE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1</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买方应提前</w:t>
      </w:r>
      <w:r>
        <w:rPr>
          <w:rFonts w:hint="eastAsia" w:ascii="宋体" w:hAnsi="仿宋_GB2312" w:eastAsia="宋体" w:cs="仿宋_GB2312"/>
          <w:color w:val="auto"/>
          <w:sz w:val="24"/>
          <w:szCs w:val="32"/>
          <w:highlight w:val="none"/>
          <w:lang w:val="en-US" w:eastAsia="zh-CN"/>
        </w:rPr>
        <w:t>10个工作日</w:t>
      </w:r>
      <w:r>
        <w:rPr>
          <w:rFonts w:hint="eastAsia" w:ascii="宋体" w:hAnsi="仿宋_GB2312" w:eastAsia="宋体" w:cs="仿宋_GB2312"/>
          <w:color w:val="auto"/>
          <w:sz w:val="24"/>
          <w:szCs w:val="32"/>
          <w:highlight w:val="none"/>
        </w:rPr>
        <w:t>将货物需求量通知卖方，给予卖方合理的供货准备时间。买方如改变货物需求量时，应提前</w:t>
      </w:r>
      <w:r>
        <w:rPr>
          <w:rFonts w:hint="eastAsia" w:ascii="宋体" w:hAnsi="仿宋_GB2312" w:eastAsia="宋体" w:cs="仿宋_GB2312"/>
          <w:color w:val="auto"/>
          <w:sz w:val="24"/>
          <w:szCs w:val="32"/>
          <w:highlight w:val="none"/>
          <w:lang w:val="en-US" w:eastAsia="zh-CN"/>
        </w:rPr>
        <w:t>3个工作日</w:t>
      </w:r>
      <w:r>
        <w:rPr>
          <w:rFonts w:hint="eastAsia" w:ascii="宋体" w:hAnsi="仿宋_GB2312" w:eastAsia="宋体" w:cs="仿宋_GB2312"/>
          <w:color w:val="auto"/>
          <w:sz w:val="24"/>
          <w:szCs w:val="32"/>
          <w:highlight w:val="none"/>
        </w:rPr>
        <w:t>通知卖方，并办理相应的变更手续；如未及时办理相关变更手续，买方承担相应的责任。</w:t>
      </w:r>
    </w:p>
    <w:p w14:paraId="6C7AA17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lang w:eastAsia="zh-CN"/>
        </w:rPr>
      </w:pPr>
      <w:r>
        <w:rPr>
          <w:rFonts w:hint="eastAsia" w:ascii="宋体" w:hAnsi="仿宋_GB2312" w:eastAsia="宋体" w:cs="仿宋_GB2312"/>
          <w:color w:val="auto"/>
          <w:sz w:val="24"/>
          <w:szCs w:val="32"/>
          <w:highlight w:val="none"/>
        </w:rPr>
        <w:t>2</w:t>
      </w:r>
      <w:r>
        <w:rPr>
          <w:rFonts w:hint="eastAsia" w:ascii="宋体" w:hAnsi="仿宋_GB2312" w:eastAsia="宋体" w:cs="仿宋_GB2312"/>
          <w:color w:val="auto"/>
          <w:sz w:val="24"/>
          <w:szCs w:val="32"/>
          <w:highlight w:val="none"/>
          <w:lang w:eastAsia="zh-CN"/>
        </w:rPr>
        <w:t>、本合同履行过程中，卖方应</w:t>
      </w:r>
      <w:r>
        <w:rPr>
          <w:rFonts w:hint="eastAsia" w:ascii="宋体" w:hAnsi="仿宋_GB2312" w:eastAsia="宋体" w:cs="仿宋_GB2312"/>
          <w:color w:val="auto"/>
          <w:sz w:val="24"/>
          <w:szCs w:val="32"/>
          <w:highlight w:val="none"/>
          <w:lang w:val="en-US" w:eastAsia="zh-CN"/>
        </w:rPr>
        <w:t>合理调配以</w:t>
      </w:r>
      <w:r>
        <w:rPr>
          <w:rFonts w:hint="eastAsia" w:ascii="宋体" w:hAnsi="仿宋_GB2312" w:eastAsia="宋体" w:cs="仿宋_GB2312"/>
          <w:color w:val="auto"/>
          <w:sz w:val="24"/>
          <w:szCs w:val="32"/>
          <w:highlight w:val="none"/>
          <w:lang w:eastAsia="zh-CN"/>
        </w:rPr>
        <w:t>保障买方的货物供应。</w:t>
      </w:r>
    </w:p>
    <w:p w14:paraId="4175910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lang w:eastAsia="zh-CN"/>
        </w:rPr>
      </w:pPr>
      <w:r>
        <w:rPr>
          <w:rFonts w:hint="eastAsia" w:ascii="宋体" w:hAnsi="仿宋_GB2312" w:eastAsia="宋体" w:cs="仿宋_GB2312"/>
          <w:color w:val="auto"/>
          <w:sz w:val="24"/>
          <w:szCs w:val="32"/>
          <w:highlight w:val="none"/>
          <w:lang w:eastAsia="zh-CN"/>
        </w:rPr>
        <w:t>（1）若卖方在具备供货条件的情况下未向买方供货（包括但不限于以更高价格</w:t>
      </w:r>
      <w:r>
        <w:rPr>
          <w:rFonts w:hint="eastAsia" w:ascii="宋体" w:hAnsi="仿宋_GB2312" w:eastAsia="宋体" w:cs="仿宋_GB2312"/>
          <w:color w:val="auto"/>
          <w:sz w:val="24"/>
          <w:szCs w:val="32"/>
          <w:highlight w:val="none"/>
          <w:lang w:val="en-US" w:eastAsia="zh-CN"/>
        </w:rPr>
        <w:t>先行</w:t>
      </w:r>
      <w:r>
        <w:rPr>
          <w:rFonts w:hint="eastAsia" w:ascii="宋体" w:hAnsi="仿宋_GB2312" w:eastAsia="宋体" w:cs="仿宋_GB2312"/>
          <w:color w:val="auto"/>
          <w:sz w:val="24"/>
          <w:szCs w:val="32"/>
          <w:highlight w:val="none"/>
          <w:lang w:eastAsia="zh-CN"/>
        </w:rPr>
        <w:t>出售</w:t>
      </w:r>
      <w:r>
        <w:rPr>
          <w:rFonts w:hint="eastAsia" w:ascii="宋体" w:hAnsi="仿宋_GB2312" w:eastAsia="宋体" w:cs="仿宋_GB2312"/>
          <w:color w:val="auto"/>
          <w:sz w:val="24"/>
          <w:szCs w:val="32"/>
          <w:highlight w:val="none"/>
          <w:lang w:val="en-US" w:eastAsia="zh-CN"/>
        </w:rPr>
        <w:t>给第三方</w:t>
      </w:r>
      <w:r>
        <w:rPr>
          <w:rFonts w:hint="eastAsia" w:ascii="宋体" w:hAnsi="仿宋_GB2312" w:eastAsia="宋体" w:cs="仿宋_GB2312"/>
          <w:color w:val="auto"/>
          <w:sz w:val="24"/>
          <w:szCs w:val="32"/>
          <w:highlight w:val="none"/>
          <w:lang w:eastAsia="zh-CN"/>
        </w:rPr>
        <w:t>），导致买方无法按合同约定提货，卖方应在阻碍消除后 48 小时内恢复供货，并优先满足买方需求。</w:t>
      </w:r>
    </w:p>
    <w:p w14:paraId="36A0F79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lang w:eastAsia="zh-CN"/>
        </w:rPr>
      </w:pPr>
      <w:r>
        <w:rPr>
          <w:rFonts w:hint="eastAsia" w:ascii="宋体" w:hAnsi="仿宋_GB2312" w:eastAsia="宋体" w:cs="仿宋_GB2312"/>
          <w:color w:val="auto"/>
          <w:sz w:val="24"/>
          <w:szCs w:val="32"/>
          <w:highlight w:val="none"/>
          <w:lang w:eastAsia="zh-CN"/>
        </w:rPr>
        <w:t>（2）若卖方因自身生产设备故障等客观原因</w:t>
      </w:r>
      <w:r>
        <w:rPr>
          <w:rFonts w:hint="eastAsia" w:ascii="宋体" w:hAnsi="仿宋_GB2312" w:eastAsia="宋体" w:cs="仿宋_GB2312"/>
          <w:color w:val="auto"/>
          <w:sz w:val="24"/>
          <w:szCs w:val="32"/>
          <w:highlight w:val="none"/>
          <w:lang w:val="en-US" w:eastAsia="zh-CN"/>
        </w:rPr>
        <w:t>或恶劣天气、自然灾害、政府管制等不可抗力因素</w:t>
      </w:r>
      <w:r>
        <w:rPr>
          <w:rFonts w:hint="eastAsia" w:ascii="宋体" w:hAnsi="仿宋_GB2312" w:eastAsia="宋体" w:cs="仿宋_GB2312"/>
          <w:color w:val="auto"/>
          <w:sz w:val="24"/>
          <w:szCs w:val="32"/>
          <w:highlight w:val="none"/>
          <w:lang w:eastAsia="zh-CN"/>
        </w:rPr>
        <w:t>导致无法按</w:t>
      </w:r>
      <w:r>
        <w:rPr>
          <w:rFonts w:hint="eastAsia" w:ascii="宋体" w:hAnsi="仿宋_GB2312" w:eastAsia="宋体" w:cs="仿宋_GB2312"/>
          <w:color w:val="auto"/>
          <w:sz w:val="24"/>
          <w:szCs w:val="32"/>
          <w:highlight w:val="none"/>
          <w:lang w:val="en-US" w:eastAsia="zh-CN"/>
        </w:rPr>
        <w:t>约定</w:t>
      </w:r>
      <w:r>
        <w:rPr>
          <w:rFonts w:hint="eastAsia" w:ascii="宋体" w:hAnsi="仿宋_GB2312" w:eastAsia="宋体" w:cs="仿宋_GB2312"/>
          <w:color w:val="auto"/>
          <w:sz w:val="24"/>
          <w:szCs w:val="32"/>
          <w:highlight w:val="none"/>
          <w:lang w:eastAsia="zh-CN"/>
        </w:rPr>
        <w:t xml:space="preserve">交货，卖方应提前 </w:t>
      </w: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lang w:eastAsia="zh-CN"/>
        </w:rPr>
        <w:t xml:space="preserve"> 日书面通知买方。在此情况下，</w:t>
      </w:r>
      <w:r>
        <w:rPr>
          <w:rFonts w:hint="eastAsia" w:ascii="宋体" w:hAnsi="仿宋_GB2312" w:eastAsia="宋体" w:cs="仿宋_GB2312"/>
          <w:color w:val="auto"/>
          <w:sz w:val="24"/>
          <w:szCs w:val="32"/>
          <w:highlight w:val="none"/>
        </w:rPr>
        <w:t>买方应充分理解。</w:t>
      </w:r>
    </w:p>
    <w:p w14:paraId="760D62A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3</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买方需要货物数量多于通知数量时，应提前</w:t>
      </w:r>
      <w:r>
        <w:rPr>
          <w:rFonts w:hint="eastAsia" w:ascii="宋体" w:hAnsi="仿宋_GB2312" w:eastAsia="宋体" w:cs="仿宋_GB2312"/>
          <w:color w:val="auto"/>
          <w:sz w:val="24"/>
          <w:szCs w:val="32"/>
          <w:highlight w:val="none"/>
          <w:lang w:val="en-US" w:eastAsia="zh-CN"/>
        </w:rPr>
        <w:t>2个工作日</w:t>
      </w:r>
      <w:r>
        <w:rPr>
          <w:rFonts w:hint="eastAsia" w:ascii="宋体" w:hAnsi="仿宋_GB2312" w:eastAsia="宋体" w:cs="仿宋_GB2312"/>
          <w:color w:val="auto"/>
          <w:sz w:val="24"/>
          <w:szCs w:val="32"/>
          <w:highlight w:val="none"/>
        </w:rPr>
        <w:t>通知卖方，卖方同意后积极配合进行生产、调配。</w:t>
      </w:r>
    </w:p>
    <w:p w14:paraId="62B3CE9B">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4</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w:t>
      </w:r>
      <w:r>
        <w:rPr>
          <w:rFonts w:hint="eastAsia" w:ascii="宋体" w:hAnsi="仿宋_GB2312" w:eastAsia="宋体" w:cs="仿宋_GB2312"/>
          <w:color w:val="auto"/>
          <w:sz w:val="24"/>
          <w:szCs w:val="32"/>
          <w:highlight w:val="none"/>
          <w:lang w:val="en-US" w:eastAsia="zh-CN"/>
        </w:rPr>
        <w:t>自货物装车后，</w:t>
      </w:r>
      <w:r>
        <w:rPr>
          <w:rFonts w:hint="eastAsia" w:ascii="宋体" w:hAnsi="仿宋_GB2312" w:eastAsia="宋体" w:cs="仿宋_GB2312"/>
          <w:color w:val="auto"/>
          <w:sz w:val="24"/>
          <w:szCs w:val="32"/>
          <w:highlight w:val="none"/>
        </w:rPr>
        <w:t>应承担货物运输途中的政府部门查扣、损毁灭失风险。</w:t>
      </w:r>
    </w:p>
    <w:p w14:paraId="4AC5939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5</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买方被认为已经对工地现场的交通情况和工程当地政府运输时限及通道的限制规定（不论是正常的或临时的）有充分的了解和理解，不应因此提出索赔或要求延长或不合理地变更交货期限。</w:t>
      </w:r>
    </w:p>
    <w:p w14:paraId="70AE7D8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6</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买方负责运输过程中的一切人员</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机械、车辆的安全责任，应按国家及地方规定办理相关手续、费用自负。</w:t>
      </w:r>
    </w:p>
    <w:p w14:paraId="0966C9F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7</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买方运输中应做相应的环保措施，应符合国家环保要求，因环保造成的一切罚款由买方自行承担。</w:t>
      </w:r>
    </w:p>
    <w:p w14:paraId="3DF612F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8</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买方必须对自身出入工地现场的人员进行安全交底，并应自带安全防护用品，因买方原因造成的各种人员伤害及经济损失由买方自行承担，并补偿卖方及其它方因此造成的一切损失。</w:t>
      </w:r>
    </w:p>
    <w:p w14:paraId="70FDFB6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六、</w:t>
      </w:r>
      <w:r>
        <w:rPr>
          <w:rFonts w:hint="default" w:ascii="黑体" w:hAnsi="Times New Roman" w:eastAsia="黑体" w:cs="Times New Roman"/>
          <w:b w:val="0"/>
          <w:bCs/>
          <w:color w:val="auto"/>
          <w:sz w:val="28"/>
          <w:szCs w:val="32"/>
          <w:highlight w:val="none"/>
        </w:rPr>
        <w:t>不可抗力</w:t>
      </w:r>
    </w:p>
    <w:p w14:paraId="593BA78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1</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受阻一方应在不可抗力事件发生后</w:t>
      </w:r>
      <w:r>
        <w:rPr>
          <w:rFonts w:hint="eastAsia" w:ascii="宋体" w:hAnsi="仿宋_GB2312" w:eastAsia="宋体" w:cs="仿宋_GB2312"/>
          <w:color w:val="auto"/>
          <w:sz w:val="24"/>
          <w:szCs w:val="32"/>
          <w:highlight w:val="none"/>
          <w:lang w:val="en-US" w:eastAsia="zh-CN"/>
        </w:rPr>
        <w:t>48</w:t>
      </w:r>
      <w:r>
        <w:rPr>
          <w:rFonts w:hint="eastAsia" w:ascii="宋体" w:hAnsi="仿宋_GB2312" w:eastAsia="宋体" w:cs="仿宋_GB2312"/>
          <w:color w:val="auto"/>
          <w:sz w:val="24"/>
          <w:szCs w:val="32"/>
          <w:highlight w:val="none"/>
        </w:rPr>
        <w:t>小时内</w:t>
      </w:r>
      <w:r>
        <w:rPr>
          <w:rFonts w:hint="eastAsia" w:ascii="宋体" w:hAnsi="仿宋_GB2312" w:eastAsia="宋体" w:cs="仿宋_GB2312"/>
          <w:color w:val="auto"/>
          <w:sz w:val="24"/>
          <w:szCs w:val="32"/>
          <w:highlight w:val="none"/>
          <w:lang w:eastAsia="zh-CN"/>
        </w:rPr>
        <w:t>（如因事件导致通讯中断，则在恢复通讯后 </w:t>
      </w:r>
      <w:r>
        <w:rPr>
          <w:rFonts w:hint="eastAsia" w:ascii="宋体" w:hAnsi="仿宋_GB2312" w:eastAsia="宋体" w:cs="仿宋_GB2312"/>
          <w:color w:val="auto"/>
          <w:sz w:val="24"/>
          <w:szCs w:val="32"/>
          <w:highlight w:val="none"/>
          <w:lang w:val="en-US" w:eastAsia="zh-CN"/>
        </w:rPr>
        <w:t>48</w:t>
      </w:r>
      <w:r>
        <w:rPr>
          <w:rFonts w:hint="eastAsia" w:ascii="宋体" w:hAnsi="仿宋_GB2312" w:eastAsia="宋体" w:cs="仿宋_GB2312"/>
          <w:color w:val="auto"/>
          <w:sz w:val="24"/>
          <w:szCs w:val="32"/>
          <w:highlight w:val="none"/>
          <w:lang w:eastAsia="zh-CN"/>
        </w:rPr>
        <w:t>小时内））</w:t>
      </w:r>
      <w:r>
        <w:rPr>
          <w:rFonts w:hint="eastAsia" w:ascii="宋体" w:hAnsi="仿宋_GB2312" w:eastAsia="宋体" w:cs="仿宋_GB2312"/>
          <w:color w:val="auto"/>
          <w:sz w:val="24"/>
          <w:szCs w:val="32"/>
          <w:highlight w:val="none"/>
        </w:rPr>
        <w:t>用传真、电子邮件、特快专递等书面形式通知对方；同时，受阻方应尽可能继续履行合同义务，以及寻求采取合理的方案履行不</w:t>
      </w:r>
      <w:r>
        <w:rPr>
          <w:rFonts w:hint="eastAsia" w:ascii="宋体" w:hAnsi="仿宋_GB2312" w:eastAsia="宋体" w:cs="仿宋_GB2312"/>
          <w:color w:val="auto"/>
          <w:sz w:val="24"/>
          <w:szCs w:val="32"/>
          <w:highlight w:val="none"/>
          <w:lang w:val="en-US" w:eastAsia="zh-CN"/>
        </w:rPr>
        <w:t>受不可抗力影响的其他事项，一旦不可抗力事项</w:t>
      </w:r>
      <w:r>
        <w:rPr>
          <w:rFonts w:hint="eastAsia" w:ascii="宋体" w:hAnsi="仿宋_GB2312" w:eastAsia="宋体" w:cs="仿宋_GB2312"/>
          <w:color w:val="auto"/>
          <w:sz w:val="24"/>
          <w:szCs w:val="32"/>
          <w:highlight w:val="none"/>
        </w:rPr>
        <w:t>导致工期延误或持续</w:t>
      </w:r>
      <w:r>
        <w:rPr>
          <w:rFonts w:hint="eastAsia" w:ascii="宋体" w:hAnsi="仿宋_GB2312" w:eastAsia="宋体" w:cs="仿宋_GB2312"/>
          <w:color w:val="auto"/>
          <w:sz w:val="24"/>
          <w:szCs w:val="32"/>
          <w:highlight w:val="none"/>
          <w:lang w:val="en-US" w:eastAsia="zh-CN"/>
        </w:rPr>
        <w:t>30</w:t>
      </w:r>
      <w:r>
        <w:rPr>
          <w:rFonts w:hint="eastAsia" w:ascii="宋体" w:hAnsi="仿宋_GB2312" w:eastAsia="宋体" w:cs="仿宋_GB2312"/>
          <w:color w:val="auto"/>
          <w:sz w:val="24"/>
          <w:szCs w:val="32"/>
          <w:highlight w:val="none"/>
        </w:rPr>
        <w:t>日以上时，双方可通过友好协商在合理的时间内达成终止合同或进一步履行合同的协议。未达成进一步履行合同的协议，任何一方均可书面通知对方终止合同。</w:t>
      </w:r>
    </w:p>
    <w:p w14:paraId="7817FC0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2</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不可抗力导致的人员伤亡、财产损失、费用增加和（或）工期延误等后果，按以下原则承担：</w:t>
      </w:r>
    </w:p>
    <w:p w14:paraId="374DBCA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（1）买方和卖方承担各自人员伤亡和财产的损失；</w:t>
      </w:r>
    </w:p>
    <w:p w14:paraId="6FA945C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（2）不可抗力发生后，合同当事人均应采取措施尽量避免和减少损失的扩大，任何一方当事人没有采取有效措施导致损失扩大的，应对扩大的损失承担责任。</w:t>
      </w:r>
    </w:p>
    <w:p w14:paraId="0BD20C0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（3）因合同一方迟延履行合同义务，在迟延履行期间遭遇不可抗力的，不免除其违约责任。</w:t>
      </w:r>
    </w:p>
    <w:p w14:paraId="6D5A24CC">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七、</w:t>
      </w:r>
      <w:r>
        <w:rPr>
          <w:rFonts w:hint="default" w:ascii="黑体" w:hAnsi="Times New Roman" w:eastAsia="黑体" w:cs="Times New Roman"/>
          <w:b w:val="0"/>
          <w:bCs/>
          <w:color w:val="auto"/>
          <w:sz w:val="28"/>
          <w:szCs w:val="32"/>
          <w:highlight w:val="none"/>
        </w:rPr>
        <w:t>争议解决</w:t>
      </w:r>
    </w:p>
    <w:p w14:paraId="5C2A13B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双方约定，在履行本合同过程中发生争议，双方协商解决或者调解不成时，依法向卖方公司所在地有管辖权的人民法院提起诉讼。</w:t>
      </w:r>
    </w:p>
    <w:p w14:paraId="4E7AFCC1">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八、</w:t>
      </w:r>
      <w:r>
        <w:rPr>
          <w:rFonts w:hint="default" w:ascii="黑体" w:hAnsi="Times New Roman" w:eastAsia="黑体" w:cs="Times New Roman"/>
          <w:b w:val="0"/>
          <w:bCs/>
          <w:color w:val="auto"/>
          <w:sz w:val="28"/>
          <w:szCs w:val="32"/>
          <w:highlight w:val="none"/>
        </w:rPr>
        <w:t>适用法律</w:t>
      </w:r>
    </w:p>
    <w:p w14:paraId="6C6623D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本合同受中华人民共和国法律、法规和规章管辖及解释。</w:t>
      </w:r>
    </w:p>
    <w:p w14:paraId="3A1BD366">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highlight w:val="none"/>
        </w:rPr>
      </w:pPr>
      <w:r>
        <w:rPr>
          <w:rFonts w:hint="default" w:ascii="黑体" w:hAnsi="Times New Roman" w:eastAsia="黑体" w:cs="Times New Roman"/>
          <w:b w:val="0"/>
          <w:bCs/>
          <w:color w:val="auto"/>
          <w:sz w:val="28"/>
          <w:szCs w:val="32"/>
          <w:highlight w:val="none"/>
          <w:lang w:val="en-US" w:eastAsia="zh-CN"/>
        </w:rPr>
        <w:t>九、</w:t>
      </w:r>
      <w:r>
        <w:rPr>
          <w:rFonts w:hint="default" w:ascii="黑体" w:hAnsi="Times New Roman" w:eastAsia="黑体" w:cs="Times New Roman"/>
          <w:b w:val="0"/>
          <w:bCs/>
          <w:color w:val="auto"/>
          <w:sz w:val="28"/>
          <w:szCs w:val="32"/>
          <w:highlight w:val="none"/>
        </w:rPr>
        <w:t>其他约定事项</w:t>
      </w:r>
    </w:p>
    <w:p w14:paraId="5D10E231">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highlight w:val="none"/>
        </w:rPr>
      </w:pPr>
      <w:r>
        <w:rPr>
          <w:rFonts w:hint="eastAsia" w:ascii="黑体" w:hAnsi="仿宋_GB2312" w:eastAsia="黑体" w:cs="仿宋_GB2312"/>
          <w:b w:val="0"/>
          <w:color w:val="auto"/>
          <w:sz w:val="24"/>
          <w:szCs w:val="32"/>
          <w:highlight w:val="none"/>
          <w:lang w:val="en-US" w:eastAsia="zh-CN"/>
        </w:rPr>
        <w:t>1、买方责任</w:t>
      </w:r>
      <w:r>
        <w:rPr>
          <w:rFonts w:hint="eastAsia" w:ascii="黑体" w:hAnsi="仿宋_GB2312" w:eastAsia="黑体" w:cs="仿宋_GB2312"/>
          <w:b w:val="0"/>
          <w:color w:val="auto"/>
          <w:sz w:val="24"/>
          <w:szCs w:val="32"/>
          <w:highlight w:val="none"/>
        </w:rPr>
        <w:t>：</w:t>
      </w:r>
    </w:p>
    <w:p w14:paraId="3ADA531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1</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过磅单签收由法人（自然人）指定人员签收，并提供人员和车辆信息。</w:t>
      </w:r>
    </w:p>
    <w:p w14:paraId="6BDFE40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w:t>
      </w: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rPr>
        <w:t>）买方人员因自身原因造成自身及第三方损失和人身伤害的由买方自行负责并承担损失。</w:t>
      </w:r>
    </w:p>
    <w:p w14:paraId="5F42922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w:t>
      </w:r>
      <w:r>
        <w:rPr>
          <w:rFonts w:hint="eastAsia" w:ascii="宋体" w:hAnsi="仿宋_GB2312" w:eastAsia="宋体" w:cs="仿宋_GB2312"/>
          <w:color w:val="auto"/>
          <w:sz w:val="24"/>
          <w:szCs w:val="32"/>
          <w:highlight w:val="none"/>
          <w:lang w:val="en-US" w:eastAsia="zh-CN"/>
        </w:rPr>
        <w:t>3</w:t>
      </w:r>
      <w:r>
        <w:rPr>
          <w:rFonts w:hint="eastAsia" w:ascii="宋体" w:hAnsi="仿宋_GB2312" w:eastAsia="宋体" w:cs="仿宋_GB2312"/>
          <w:color w:val="auto"/>
          <w:sz w:val="24"/>
          <w:szCs w:val="32"/>
          <w:highlight w:val="none"/>
        </w:rPr>
        <w:t>）买方根据施工区域、进度及施工需求量，</w:t>
      </w:r>
      <w:r>
        <w:rPr>
          <w:rFonts w:hint="eastAsia" w:ascii="宋体" w:hAnsi="仿宋_GB2312" w:eastAsia="宋体" w:cs="仿宋_GB2312"/>
          <w:color w:val="auto"/>
          <w:sz w:val="24"/>
          <w:szCs w:val="32"/>
          <w:highlight w:val="none"/>
          <w:lang w:val="en-US" w:eastAsia="zh-CN"/>
        </w:rPr>
        <w:t>以书面通知形式</w:t>
      </w:r>
      <w:r>
        <w:rPr>
          <w:rFonts w:hint="eastAsia" w:ascii="宋体" w:hAnsi="仿宋_GB2312" w:eastAsia="宋体" w:cs="仿宋_GB2312"/>
          <w:color w:val="auto"/>
          <w:sz w:val="24"/>
          <w:szCs w:val="32"/>
          <w:highlight w:val="none"/>
        </w:rPr>
        <w:t>提前1日通知卖方负责人，</w:t>
      </w:r>
      <w:r>
        <w:rPr>
          <w:rFonts w:hint="eastAsia" w:ascii="宋体" w:hAnsi="仿宋_GB2312" w:eastAsia="宋体" w:cs="仿宋_GB2312"/>
          <w:color w:val="auto"/>
          <w:sz w:val="24"/>
          <w:szCs w:val="32"/>
          <w:highlight w:val="none"/>
          <w:lang w:val="en-US" w:eastAsia="zh-CN"/>
        </w:rPr>
        <w:t>并提供书面供货计划单。</w:t>
      </w:r>
      <w:r>
        <w:rPr>
          <w:rFonts w:hint="eastAsia" w:ascii="宋体" w:hAnsi="仿宋_GB2312" w:eastAsia="宋体" w:cs="仿宋_GB2312"/>
          <w:color w:val="auto"/>
          <w:sz w:val="24"/>
          <w:szCs w:val="32"/>
          <w:highlight w:val="none"/>
        </w:rPr>
        <w:t>卖方应严格按照买方通知执行。</w:t>
      </w:r>
    </w:p>
    <w:p w14:paraId="5B59DD0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4</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买方应对投入的人员、机械、车辆办理保险，保险费用由买方承担。</w:t>
      </w:r>
    </w:p>
    <w:p w14:paraId="3C93150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5</w:t>
      </w: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rPr>
        <w:t>买方进入卖方场地内的一切车辆和人员必须服从卖方的统一管理、指挥和调度，遵守卖方的一切规章制度，如若发生不服从卖方管理、寻觅滋事或涉黑等情况一律予以解除合同。</w:t>
      </w:r>
    </w:p>
    <w:p w14:paraId="1BB6014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highlight w:val="none"/>
          <w:lang w:val="en-US" w:eastAsia="zh-CN"/>
        </w:rPr>
      </w:pPr>
      <w:r>
        <w:rPr>
          <w:rFonts w:hint="eastAsia" w:ascii="宋体" w:hAnsi="仿宋_GB2312" w:eastAsia="宋体" w:cs="仿宋_GB2312"/>
          <w:color w:val="auto"/>
          <w:sz w:val="24"/>
          <w:szCs w:val="32"/>
          <w:highlight w:val="none"/>
          <w:lang w:eastAsia="zh-CN"/>
        </w:rPr>
        <w:t>（</w:t>
      </w:r>
      <w:r>
        <w:rPr>
          <w:rFonts w:hint="eastAsia" w:ascii="宋体" w:hAnsi="仿宋_GB2312" w:eastAsia="宋体" w:cs="仿宋_GB2312"/>
          <w:color w:val="auto"/>
          <w:sz w:val="24"/>
          <w:szCs w:val="32"/>
          <w:highlight w:val="none"/>
          <w:lang w:val="en-US" w:eastAsia="zh-CN"/>
        </w:rPr>
        <w:t>6）如卖方满足交货条件，买方未能按照合同约定数量提货并要求卖方退款时，买方不再享受本次成交价格，卖方可按照成交价溢价3元计价已提货物，剩余款项无息退回。</w:t>
      </w:r>
    </w:p>
    <w:p w14:paraId="3DD9C68B">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highlight w:val="none"/>
          <w:lang w:val="en-US" w:eastAsia="zh-CN"/>
        </w:rPr>
      </w:pPr>
      <w:r>
        <w:rPr>
          <w:rFonts w:hint="eastAsia" w:ascii="黑体" w:hAnsi="仿宋_GB2312" w:eastAsia="黑体" w:cs="仿宋_GB2312"/>
          <w:b w:val="0"/>
          <w:color w:val="auto"/>
          <w:sz w:val="24"/>
          <w:szCs w:val="32"/>
          <w:highlight w:val="none"/>
          <w:lang w:val="en-US" w:eastAsia="zh-CN"/>
        </w:rPr>
        <w:t>2、卖方责任：</w:t>
      </w:r>
    </w:p>
    <w:p w14:paraId="1F5F5FB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000000" w:themeColor="text1"/>
          <w:sz w:val="24"/>
          <w:szCs w:val="32"/>
          <w:highlight w:val="none"/>
          <w:lang w:val="en-US" w:eastAsia="zh-CN"/>
          <w14:textFill>
            <w14:solidFill>
              <w14:schemeClr w14:val="tx1"/>
            </w14:solidFill>
          </w14:textFill>
        </w:rPr>
      </w:pPr>
      <w:r>
        <w:rPr>
          <w:rFonts w:hint="default" w:ascii="宋体" w:hAnsi="仿宋_GB2312" w:eastAsia="宋体" w:cs="仿宋_GB2312"/>
          <w:color w:val="000000" w:themeColor="text1"/>
          <w:sz w:val="24"/>
          <w:szCs w:val="32"/>
          <w:highlight w:val="none"/>
          <w:lang w:val="en-US" w:eastAsia="zh-CN"/>
          <w14:textFill>
            <w14:solidFill>
              <w14:schemeClr w14:val="tx1"/>
            </w14:solidFill>
          </w14:textFill>
        </w:rPr>
        <w:t>采购种类及数量以双方盖章确认的《供货计划单》为基准，如因卖方自身产能、质量等原因，连续 5 次或在3个月内累计10次未按《供货计划单》或双方重新协商的供货时间、数量供货的（卖方生产设备故障等客观原因或不可抗力导致的延迟交货除外），买方应书面通知卖方整改，卖方在收到整改通知后10日内仍未纠正的，买方可行使单方合同解除权，终止相关合作事项。卖方应于解除合同之日起10个工作日内将剩余款项返还至买方指定账户，并以剩余款项为基数，按</w:t>
      </w:r>
      <w:r>
        <w:rPr>
          <w:rFonts w:hint="eastAsia" w:ascii="宋体" w:hAnsi="仿宋_GB2312" w:eastAsia="宋体" w:cs="仿宋_GB2312"/>
          <w:color w:val="auto"/>
          <w:sz w:val="24"/>
          <w:szCs w:val="32"/>
          <w:highlight w:val="none"/>
        </w:rPr>
        <w:t>银行同期贷款利率</w:t>
      </w:r>
      <w:r>
        <w:rPr>
          <w:rFonts w:hint="default" w:ascii="宋体" w:hAnsi="仿宋_GB2312" w:eastAsia="宋体" w:cs="仿宋_GB2312"/>
          <w:color w:val="000000" w:themeColor="text1"/>
          <w:sz w:val="24"/>
          <w:szCs w:val="32"/>
          <w:highlight w:val="none"/>
          <w:lang w:val="en-US" w:eastAsia="zh-CN"/>
          <w14:textFill>
            <w14:solidFill>
              <w14:schemeClr w14:val="tx1"/>
            </w14:solidFill>
          </w14:textFill>
        </w:rPr>
        <w:t>的标准向买方支付资金占用费，计息期间自剩余款项实际支付之日起至卖方实际返还之日止。</w:t>
      </w:r>
      <w:r>
        <w:rPr>
          <w:rFonts w:hint="eastAsia" w:ascii="宋体" w:hAnsi="仿宋_GB2312" w:eastAsia="宋体" w:cs="仿宋_GB2312"/>
          <w:color w:val="auto"/>
          <w:sz w:val="24"/>
          <w:szCs w:val="32"/>
          <w:highlight w:val="none"/>
        </w:rPr>
        <w:t>（以全国银行</w:t>
      </w:r>
      <w:r>
        <w:rPr>
          <w:rFonts w:hint="eastAsia" w:ascii="宋体" w:hAnsi="仿宋_GB2312" w:eastAsia="宋体" w:cs="仿宋_GB2312"/>
          <w:color w:val="auto"/>
          <w:sz w:val="24"/>
          <w:szCs w:val="32"/>
          <w:highlight w:val="none"/>
          <w:lang w:val="en-US" w:eastAsia="zh-CN"/>
        </w:rPr>
        <w:t>间</w:t>
      </w:r>
      <w:r>
        <w:rPr>
          <w:rFonts w:hint="eastAsia" w:ascii="宋体" w:hAnsi="仿宋_GB2312" w:eastAsia="宋体" w:cs="仿宋_GB2312"/>
          <w:color w:val="auto"/>
          <w:sz w:val="24"/>
          <w:szCs w:val="32"/>
          <w:highlight w:val="none"/>
        </w:rPr>
        <w:t>同业拆借中心公布的贷款市场报价利率为准）。</w:t>
      </w:r>
    </w:p>
    <w:p w14:paraId="49C880A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highlight w:val="none"/>
        </w:rPr>
      </w:pPr>
      <w:r>
        <w:rPr>
          <w:rFonts w:hint="eastAsia" w:ascii="黑体" w:hAnsi="仿宋_GB2312" w:eastAsia="黑体" w:cs="仿宋_GB2312"/>
          <w:b w:val="0"/>
          <w:bCs w:val="0"/>
          <w:color w:val="auto"/>
          <w:sz w:val="24"/>
          <w:szCs w:val="32"/>
          <w:highlight w:val="none"/>
          <w:lang w:val="en-US" w:eastAsia="zh-CN"/>
        </w:rPr>
        <w:t>3</w:t>
      </w:r>
      <w:r>
        <w:rPr>
          <w:rFonts w:hint="eastAsia" w:ascii="黑体" w:hAnsi="仿宋_GB2312" w:eastAsia="黑体" w:cs="仿宋_GB2312"/>
          <w:b w:val="0"/>
          <w:bCs w:val="0"/>
          <w:color w:val="auto"/>
          <w:sz w:val="24"/>
          <w:szCs w:val="32"/>
          <w:highlight w:val="none"/>
          <w:lang w:eastAsia="zh-CN"/>
        </w:rPr>
        <w:t>、</w:t>
      </w:r>
      <w:r>
        <w:rPr>
          <w:rFonts w:hint="eastAsia" w:ascii="黑体" w:hAnsi="仿宋_GB2312" w:eastAsia="黑体" w:cs="仿宋_GB2312"/>
          <w:b w:val="0"/>
          <w:bCs w:val="0"/>
          <w:color w:val="auto"/>
          <w:sz w:val="24"/>
          <w:szCs w:val="32"/>
          <w:highlight w:val="none"/>
        </w:rPr>
        <w:t>本合同经双方</w:t>
      </w:r>
      <w:r>
        <w:rPr>
          <w:rFonts w:hint="eastAsia" w:ascii="黑体" w:hAnsi="仿宋_GB2312" w:eastAsia="黑体" w:cs="仿宋_GB2312"/>
          <w:b w:val="0"/>
          <w:bCs w:val="0"/>
          <w:color w:val="auto"/>
          <w:sz w:val="24"/>
          <w:szCs w:val="32"/>
          <w:highlight w:val="none"/>
          <w:lang w:val="en-US" w:eastAsia="zh-CN"/>
        </w:rPr>
        <w:t>法定代表人</w:t>
      </w:r>
      <w:r>
        <w:rPr>
          <w:rFonts w:hint="eastAsia" w:ascii="黑体" w:hAnsi="仿宋_GB2312" w:eastAsia="黑体" w:cs="仿宋_GB2312"/>
          <w:b w:val="0"/>
          <w:bCs w:val="0"/>
          <w:color w:val="auto"/>
          <w:sz w:val="24"/>
          <w:szCs w:val="32"/>
          <w:highlight w:val="none"/>
        </w:rPr>
        <w:t>签字</w:t>
      </w:r>
      <w:r>
        <w:rPr>
          <w:rFonts w:hint="eastAsia" w:ascii="黑体" w:hAnsi="仿宋_GB2312" w:eastAsia="黑体" w:cs="仿宋_GB2312"/>
          <w:b w:val="0"/>
          <w:bCs w:val="0"/>
          <w:color w:val="auto"/>
          <w:sz w:val="24"/>
          <w:szCs w:val="32"/>
          <w:highlight w:val="none"/>
          <w:lang w:val="en-US" w:eastAsia="zh-CN"/>
        </w:rPr>
        <w:t>并加盖公</w:t>
      </w:r>
      <w:r>
        <w:rPr>
          <w:rFonts w:hint="eastAsia" w:ascii="黑体" w:hAnsi="仿宋_GB2312" w:eastAsia="黑体" w:cs="仿宋_GB2312"/>
          <w:b w:val="0"/>
          <w:bCs w:val="0"/>
          <w:color w:val="auto"/>
          <w:sz w:val="24"/>
          <w:szCs w:val="32"/>
          <w:highlight w:val="none"/>
        </w:rPr>
        <w:t>章后生效。</w:t>
      </w:r>
    </w:p>
    <w:p w14:paraId="7FD4B2F4">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highlight w:val="none"/>
        </w:rPr>
      </w:pPr>
      <w:r>
        <w:rPr>
          <w:rFonts w:hint="eastAsia" w:ascii="黑体" w:hAnsi="仿宋_GB2312" w:eastAsia="黑体" w:cs="仿宋_GB2312"/>
          <w:b w:val="0"/>
          <w:bCs w:val="0"/>
          <w:color w:val="auto"/>
          <w:sz w:val="24"/>
          <w:szCs w:val="32"/>
          <w:highlight w:val="none"/>
          <w:lang w:val="en-US" w:eastAsia="zh-CN"/>
        </w:rPr>
        <w:t>4</w:t>
      </w:r>
      <w:r>
        <w:rPr>
          <w:rFonts w:hint="eastAsia" w:ascii="黑体" w:hAnsi="仿宋_GB2312" w:eastAsia="黑体" w:cs="仿宋_GB2312"/>
          <w:b w:val="0"/>
          <w:bCs w:val="0"/>
          <w:color w:val="auto"/>
          <w:sz w:val="24"/>
          <w:szCs w:val="32"/>
          <w:highlight w:val="none"/>
          <w:lang w:eastAsia="zh-CN"/>
        </w:rPr>
        <w:t>、</w:t>
      </w:r>
      <w:r>
        <w:rPr>
          <w:rFonts w:hint="eastAsia" w:ascii="黑体" w:hAnsi="仿宋_GB2312" w:eastAsia="黑体" w:cs="仿宋_GB2312"/>
          <w:b w:val="0"/>
          <w:bCs w:val="0"/>
          <w:color w:val="auto"/>
          <w:sz w:val="24"/>
          <w:szCs w:val="32"/>
          <w:highlight w:val="none"/>
        </w:rPr>
        <w:t>双方往来均以书面形式（指合同书、函件、传真）为准。</w:t>
      </w:r>
    </w:p>
    <w:p w14:paraId="22C61536">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highlight w:val="none"/>
        </w:rPr>
      </w:pPr>
      <w:r>
        <w:rPr>
          <w:rFonts w:hint="eastAsia" w:ascii="黑体" w:hAnsi="仿宋_GB2312" w:eastAsia="黑体" w:cs="仿宋_GB2312"/>
          <w:b w:val="0"/>
          <w:bCs w:val="0"/>
          <w:color w:val="auto"/>
          <w:sz w:val="24"/>
          <w:szCs w:val="32"/>
          <w:highlight w:val="none"/>
          <w:lang w:val="en-US" w:eastAsia="zh-CN"/>
        </w:rPr>
        <w:t>5</w:t>
      </w:r>
      <w:r>
        <w:rPr>
          <w:rFonts w:hint="eastAsia" w:ascii="黑体" w:hAnsi="仿宋_GB2312" w:eastAsia="黑体" w:cs="仿宋_GB2312"/>
          <w:b w:val="0"/>
          <w:bCs w:val="0"/>
          <w:color w:val="auto"/>
          <w:sz w:val="24"/>
          <w:szCs w:val="32"/>
          <w:highlight w:val="none"/>
          <w:lang w:eastAsia="zh-CN"/>
        </w:rPr>
        <w:t>、</w:t>
      </w:r>
      <w:r>
        <w:rPr>
          <w:rFonts w:hint="eastAsia" w:ascii="黑体" w:hAnsi="仿宋_GB2312" w:eastAsia="黑体" w:cs="仿宋_GB2312"/>
          <w:b w:val="0"/>
          <w:bCs w:val="0"/>
          <w:color w:val="auto"/>
          <w:sz w:val="24"/>
          <w:szCs w:val="32"/>
          <w:highlight w:val="none"/>
        </w:rPr>
        <w:t>本合同一式</w:t>
      </w:r>
      <w:r>
        <w:rPr>
          <w:rFonts w:hint="eastAsia" w:ascii="黑体" w:hAnsi="仿宋_GB2312" w:eastAsia="黑体" w:cs="仿宋_GB2312"/>
          <w:b w:val="0"/>
          <w:bCs w:val="0"/>
          <w:color w:val="auto"/>
          <w:sz w:val="24"/>
          <w:szCs w:val="32"/>
          <w:highlight w:val="none"/>
          <w:u w:val="single"/>
        </w:rPr>
        <w:t xml:space="preserve"> </w:t>
      </w:r>
      <w:r>
        <w:rPr>
          <w:rFonts w:hint="eastAsia" w:ascii="黑体" w:hAnsi="仿宋_GB2312" w:eastAsia="黑体" w:cs="仿宋_GB2312"/>
          <w:b w:val="0"/>
          <w:bCs w:val="0"/>
          <w:color w:val="auto"/>
          <w:sz w:val="24"/>
          <w:szCs w:val="32"/>
          <w:highlight w:val="none"/>
          <w:u w:val="single"/>
          <w:lang w:val="en-US" w:eastAsia="zh-CN"/>
        </w:rPr>
        <w:t xml:space="preserve"> 伍</w:t>
      </w:r>
      <w:r>
        <w:rPr>
          <w:rFonts w:hint="eastAsia" w:ascii="黑体" w:hAnsi="仿宋_GB2312" w:eastAsia="黑体" w:cs="仿宋_GB2312"/>
          <w:b w:val="0"/>
          <w:bCs w:val="0"/>
          <w:color w:val="auto"/>
          <w:sz w:val="24"/>
          <w:szCs w:val="32"/>
          <w:highlight w:val="none"/>
          <w:u w:val="single"/>
        </w:rPr>
        <w:t xml:space="preserve">  </w:t>
      </w:r>
      <w:r>
        <w:rPr>
          <w:rFonts w:hint="eastAsia" w:ascii="黑体" w:hAnsi="仿宋_GB2312" w:eastAsia="黑体" w:cs="仿宋_GB2312"/>
          <w:b w:val="0"/>
          <w:bCs w:val="0"/>
          <w:color w:val="auto"/>
          <w:sz w:val="24"/>
          <w:szCs w:val="32"/>
          <w:highlight w:val="none"/>
        </w:rPr>
        <w:t>份，买方执</w:t>
      </w:r>
      <w:r>
        <w:rPr>
          <w:rFonts w:hint="eastAsia" w:ascii="黑体" w:hAnsi="仿宋_GB2312" w:eastAsia="黑体" w:cs="仿宋_GB2312"/>
          <w:b w:val="0"/>
          <w:bCs w:val="0"/>
          <w:color w:val="auto"/>
          <w:sz w:val="24"/>
          <w:szCs w:val="32"/>
          <w:highlight w:val="none"/>
          <w:u w:val="single"/>
        </w:rPr>
        <w:t xml:space="preserve"> </w:t>
      </w:r>
      <w:r>
        <w:rPr>
          <w:rFonts w:hint="eastAsia" w:ascii="黑体" w:hAnsi="仿宋_GB2312" w:eastAsia="黑体" w:cs="仿宋_GB2312"/>
          <w:b w:val="0"/>
          <w:bCs w:val="0"/>
          <w:color w:val="auto"/>
          <w:sz w:val="24"/>
          <w:szCs w:val="32"/>
          <w:highlight w:val="none"/>
          <w:u w:val="single"/>
          <w:lang w:val="en-US" w:eastAsia="zh-CN"/>
        </w:rPr>
        <w:t>贰</w:t>
      </w:r>
      <w:r>
        <w:rPr>
          <w:rFonts w:hint="eastAsia" w:ascii="黑体" w:hAnsi="仿宋_GB2312" w:eastAsia="黑体" w:cs="仿宋_GB2312"/>
          <w:b w:val="0"/>
          <w:bCs w:val="0"/>
          <w:color w:val="auto"/>
          <w:sz w:val="24"/>
          <w:szCs w:val="32"/>
          <w:highlight w:val="none"/>
          <w:u w:val="single"/>
        </w:rPr>
        <w:t xml:space="preserve"> </w:t>
      </w:r>
      <w:r>
        <w:rPr>
          <w:rFonts w:hint="eastAsia" w:ascii="黑体" w:hAnsi="仿宋_GB2312" w:eastAsia="黑体" w:cs="仿宋_GB2312"/>
          <w:b w:val="0"/>
          <w:bCs w:val="0"/>
          <w:color w:val="auto"/>
          <w:sz w:val="24"/>
          <w:szCs w:val="32"/>
          <w:highlight w:val="none"/>
        </w:rPr>
        <w:t>份，卖方执</w:t>
      </w:r>
      <w:r>
        <w:rPr>
          <w:rFonts w:hint="eastAsia" w:ascii="黑体" w:hAnsi="仿宋_GB2312" w:eastAsia="黑体" w:cs="仿宋_GB2312"/>
          <w:b w:val="0"/>
          <w:bCs w:val="0"/>
          <w:color w:val="auto"/>
          <w:sz w:val="24"/>
          <w:szCs w:val="32"/>
          <w:highlight w:val="none"/>
          <w:u w:val="single"/>
        </w:rPr>
        <w:t xml:space="preserve"> </w:t>
      </w:r>
      <w:r>
        <w:rPr>
          <w:rFonts w:hint="eastAsia" w:ascii="黑体" w:hAnsi="仿宋_GB2312" w:eastAsia="黑体" w:cs="仿宋_GB2312"/>
          <w:b w:val="0"/>
          <w:bCs w:val="0"/>
          <w:color w:val="auto"/>
          <w:sz w:val="24"/>
          <w:szCs w:val="32"/>
          <w:highlight w:val="none"/>
          <w:u w:val="single"/>
          <w:lang w:val="en-US" w:eastAsia="zh-CN"/>
        </w:rPr>
        <w:t>叁</w:t>
      </w:r>
      <w:r>
        <w:rPr>
          <w:rFonts w:hint="eastAsia" w:ascii="黑体" w:hAnsi="仿宋_GB2312" w:eastAsia="黑体" w:cs="仿宋_GB2312"/>
          <w:b w:val="0"/>
          <w:bCs w:val="0"/>
          <w:color w:val="auto"/>
          <w:sz w:val="24"/>
          <w:szCs w:val="32"/>
          <w:highlight w:val="none"/>
          <w:u w:val="single"/>
        </w:rPr>
        <w:t xml:space="preserve"> </w:t>
      </w:r>
      <w:r>
        <w:rPr>
          <w:rFonts w:hint="eastAsia" w:ascii="黑体" w:hAnsi="仿宋_GB2312" w:eastAsia="黑体" w:cs="仿宋_GB2312"/>
          <w:b w:val="0"/>
          <w:bCs w:val="0"/>
          <w:color w:val="auto"/>
          <w:sz w:val="24"/>
          <w:szCs w:val="32"/>
          <w:highlight w:val="none"/>
        </w:rPr>
        <w:t>份。</w:t>
      </w:r>
    </w:p>
    <w:p w14:paraId="1E9C98F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highlight w:val="none"/>
        </w:rPr>
      </w:pPr>
      <w:r>
        <w:rPr>
          <w:rFonts w:hint="default" w:ascii="宋体" w:hAnsi="Times New Roman" w:eastAsia="宋体" w:cs="Times New Roman"/>
          <w:color w:val="auto"/>
          <w:sz w:val="24"/>
          <w:szCs w:val="32"/>
          <w:highlight w:val="none"/>
        </w:rPr>
        <w:br w:type="page"/>
      </w:r>
    </w:p>
    <w:p w14:paraId="0B9CD59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highlight w:val="none"/>
          <w:lang w:eastAsia="zh-CN"/>
        </w:rPr>
      </w:pPr>
    </w:p>
    <w:p w14:paraId="3CA5AF7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lang w:val="en-US" w:eastAsia="zh-CN"/>
        </w:rPr>
      </w:pPr>
      <w:r>
        <w:rPr>
          <w:rFonts w:hint="eastAsia" w:ascii="宋体" w:hAnsi="仿宋_GB2312" w:eastAsia="宋体" w:cs="仿宋_GB2312"/>
          <w:color w:val="auto"/>
          <w:sz w:val="24"/>
          <w:szCs w:val="32"/>
          <w:highlight w:val="none"/>
          <w:lang w:val="en-US" w:eastAsia="zh-CN"/>
        </w:rPr>
        <w:t>买</w:t>
      </w:r>
      <w:r>
        <w:rPr>
          <w:rFonts w:hint="eastAsia" w:ascii="宋体" w:hAnsi="仿宋_GB2312" w:eastAsia="宋体" w:cs="仿宋_GB2312"/>
          <w:color w:val="auto"/>
          <w:sz w:val="24"/>
          <w:szCs w:val="32"/>
          <w:highlight w:val="none"/>
        </w:rPr>
        <w:t xml:space="preserve">方（盖章）：             </w:t>
      </w:r>
      <w:r>
        <w:rPr>
          <w:rFonts w:hint="eastAsia" w:ascii="宋体" w:hAnsi="仿宋_GB2312" w:eastAsia="宋体" w:cs="仿宋_GB2312"/>
          <w:color w:val="auto"/>
          <w:sz w:val="24"/>
          <w:szCs w:val="32"/>
          <w:highlight w:val="none"/>
          <w:lang w:val="en-US" w:eastAsia="zh-CN"/>
        </w:rPr>
        <w:t xml:space="preserve"> </w:t>
      </w:r>
    </w:p>
    <w:p w14:paraId="18556D2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注</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册</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地</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 xml:space="preserve">址：             </w:t>
      </w:r>
    </w:p>
    <w:p w14:paraId="285FD01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开</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户</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 xml:space="preserve">行：             </w:t>
      </w:r>
    </w:p>
    <w:p w14:paraId="78BEDEB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 xml:space="preserve">账  </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 xml:space="preserve">号：             </w:t>
      </w:r>
    </w:p>
    <w:p w14:paraId="7111502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 xml:space="preserve">纳税人识别号：            </w:t>
      </w:r>
    </w:p>
    <w:p w14:paraId="7584575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 xml:space="preserve">法定代表人或授权代表人（签字）： </w:t>
      </w:r>
    </w:p>
    <w:p w14:paraId="2EE0E96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lang w:val="en-US" w:eastAsia="zh-CN"/>
        </w:rPr>
      </w:pPr>
    </w:p>
    <w:p w14:paraId="74096EE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 xml:space="preserve">卖方（盖章）：            </w:t>
      </w:r>
    </w:p>
    <w:p w14:paraId="7DA567B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lang w:val="en-US" w:eastAsia="zh-CN"/>
        </w:rPr>
      </w:pPr>
      <w:r>
        <w:rPr>
          <w:rFonts w:hint="eastAsia" w:ascii="宋体" w:hAnsi="仿宋_GB2312" w:eastAsia="宋体" w:cs="仿宋_GB2312"/>
          <w:color w:val="auto"/>
          <w:sz w:val="24"/>
          <w:szCs w:val="32"/>
          <w:highlight w:val="none"/>
        </w:rPr>
        <w:t>注</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册</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地</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 xml:space="preserve">址：             </w:t>
      </w:r>
      <w:r>
        <w:rPr>
          <w:rFonts w:hint="eastAsia" w:ascii="宋体" w:hAnsi="仿宋_GB2312" w:eastAsia="宋体" w:cs="仿宋_GB2312"/>
          <w:color w:val="auto"/>
          <w:sz w:val="24"/>
          <w:szCs w:val="32"/>
          <w:highlight w:val="none"/>
          <w:lang w:val="en-US" w:eastAsia="zh-CN"/>
        </w:rPr>
        <w:t xml:space="preserve"> </w:t>
      </w:r>
    </w:p>
    <w:p w14:paraId="2DAF5D3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开</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户</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 xml:space="preserve">行：             </w:t>
      </w:r>
    </w:p>
    <w:p w14:paraId="78237F6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 xml:space="preserve">账  </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 xml:space="preserve">号：             </w:t>
      </w:r>
    </w:p>
    <w:p w14:paraId="244F136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 xml:space="preserve">纳税人识别号：            </w:t>
      </w:r>
    </w:p>
    <w:p w14:paraId="1293C64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 xml:space="preserve">法定代表人或授权代表人（签字）： </w:t>
      </w:r>
    </w:p>
    <w:p w14:paraId="62F719B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p>
    <w:p w14:paraId="1F503DF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highlight w:val="none"/>
        </w:rPr>
      </w:pPr>
      <w:r>
        <w:rPr>
          <w:rFonts w:hint="eastAsia" w:ascii="宋体" w:hAnsi="仿宋_GB2312" w:eastAsia="宋体" w:cs="仿宋_GB2312"/>
          <w:color w:val="auto"/>
          <w:sz w:val="24"/>
          <w:szCs w:val="32"/>
          <w:highlight w:val="none"/>
        </w:rPr>
        <w:t>合同签订地点：</w:t>
      </w:r>
    </w:p>
    <w:p w14:paraId="403C17C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highlight w:val="none"/>
        </w:rPr>
      </w:pPr>
      <w:r>
        <w:rPr>
          <w:rFonts w:hint="eastAsia" w:ascii="宋体" w:hAnsi="仿宋_GB2312" w:eastAsia="宋体" w:cs="仿宋_GB2312"/>
          <w:color w:val="auto"/>
          <w:sz w:val="24"/>
          <w:szCs w:val="32"/>
          <w:highlight w:val="none"/>
        </w:rPr>
        <w:t>签</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署</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日</w:t>
      </w:r>
      <w:r>
        <w:rPr>
          <w:rFonts w:hint="eastAsia" w:ascii="宋体" w:hAnsi="仿宋_GB2312" w:eastAsia="宋体" w:cs="仿宋_GB2312"/>
          <w:color w:val="auto"/>
          <w:sz w:val="24"/>
          <w:szCs w:val="32"/>
          <w:highlight w:val="none"/>
          <w:lang w:val="en-US" w:eastAsia="zh-CN"/>
        </w:rPr>
        <w:t xml:space="preserve"> </w:t>
      </w:r>
      <w:r>
        <w:rPr>
          <w:rFonts w:hint="eastAsia" w:ascii="宋体" w:hAnsi="仿宋_GB2312" w:eastAsia="宋体" w:cs="仿宋_GB2312"/>
          <w:color w:val="auto"/>
          <w:sz w:val="24"/>
          <w:szCs w:val="32"/>
          <w:highlight w:val="none"/>
        </w:rPr>
        <w:t>期：</w:t>
      </w:r>
    </w:p>
    <w:p w14:paraId="7D11F642">
      <w:pPr>
        <w:rPr>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601108-72C0-4D2F-A9DE-FC99BA3BC3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0ED460E2-D191-4127-8806-4DE75C07CEB7}"/>
  </w:font>
  <w:font w:name="仿宋">
    <w:panose1 w:val="02010609060101010101"/>
    <w:charset w:val="86"/>
    <w:family w:val="auto"/>
    <w:pitch w:val="default"/>
    <w:sig w:usb0="800002BF" w:usb1="38CF7CFA" w:usb2="00000016" w:usb3="00000000" w:csb0="00040001" w:csb1="00000000"/>
    <w:embedRegular r:id="rId3" w:fontKey="{71860018-9ADA-48BB-B433-BA0385449C82}"/>
  </w:font>
  <w:font w:name="仿宋_GB2312">
    <w:panose1 w:val="02010609030101010101"/>
    <w:charset w:val="86"/>
    <w:family w:val="auto"/>
    <w:pitch w:val="default"/>
    <w:sig w:usb0="00000001" w:usb1="080E0000" w:usb2="00000000" w:usb3="00000000" w:csb0="00040000" w:csb1="00000000"/>
    <w:embedRegular r:id="rId4" w:fontKey="{51849E39-BC6A-4641-993B-8C967828F08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jU4NWU1M2NkMWIxMDg1YjFkMzg5ZmMyYWQ1OTUifQ=="/>
  </w:docVars>
  <w:rsids>
    <w:rsidRoot w:val="00000000"/>
    <w:rsid w:val="000F3D85"/>
    <w:rsid w:val="009C0CAF"/>
    <w:rsid w:val="00F76805"/>
    <w:rsid w:val="01873B86"/>
    <w:rsid w:val="02117D9A"/>
    <w:rsid w:val="03821040"/>
    <w:rsid w:val="04565F0C"/>
    <w:rsid w:val="05450817"/>
    <w:rsid w:val="0568774B"/>
    <w:rsid w:val="05AD302A"/>
    <w:rsid w:val="061A7C75"/>
    <w:rsid w:val="08032F08"/>
    <w:rsid w:val="08A815B0"/>
    <w:rsid w:val="08D47BA1"/>
    <w:rsid w:val="0A040FCC"/>
    <w:rsid w:val="0C183DBC"/>
    <w:rsid w:val="0C2531C9"/>
    <w:rsid w:val="0D2E35AF"/>
    <w:rsid w:val="0F9B0CA3"/>
    <w:rsid w:val="10AD6EE0"/>
    <w:rsid w:val="10EC7A09"/>
    <w:rsid w:val="11643A43"/>
    <w:rsid w:val="11D0610D"/>
    <w:rsid w:val="14B60A59"/>
    <w:rsid w:val="1537321C"/>
    <w:rsid w:val="154C6CC8"/>
    <w:rsid w:val="15A5462A"/>
    <w:rsid w:val="1719707D"/>
    <w:rsid w:val="17E01E70"/>
    <w:rsid w:val="18356139"/>
    <w:rsid w:val="19696FA4"/>
    <w:rsid w:val="1A0735C2"/>
    <w:rsid w:val="1ACB4B33"/>
    <w:rsid w:val="1BB72803"/>
    <w:rsid w:val="1C51008F"/>
    <w:rsid w:val="1C9571A6"/>
    <w:rsid w:val="1CA54904"/>
    <w:rsid w:val="1CD8763F"/>
    <w:rsid w:val="1E420E13"/>
    <w:rsid w:val="1E4C1F5B"/>
    <w:rsid w:val="1F585B84"/>
    <w:rsid w:val="204A68DE"/>
    <w:rsid w:val="206646DA"/>
    <w:rsid w:val="21D41FDD"/>
    <w:rsid w:val="24351FC6"/>
    <w:rsid w:val="244B1DBA"/>
    <w:rsid w:val="249F5406"/>
    <w:rsid w:val="24C85C3F"/>
    <w:rsid w:val="25AE7E56"/>
    <w:rsid w:val="26245763"/>
    <w:rsid w:val="2A592851"/>
    <w:rsid w:val="2AB7282F"/>
    <w:rsid w:val="2DD05685"/>
    <w:rsid w:val="2EB10B9E"/>
    <w:rsid w:val="2F2B5748"/>
    <w:rsid w:val="31330A6A"/>
    <w:rsid w:val="32D17A95"/>
    <w:rsid w:val="33F05E80"/>
    <w:rsid w:val="36CE15C1"/>
    <w:rsid w:val="38B03AC7"/>
    <w:rsid w:val="39DA2245"/>
    <w:rsid w:val="3A02102C"/>
    <w:rsid w:val="3AC31773"/>
    <w:rsid w:val="3B3D6C68"/>
    <w:rsid w:val="3B591FEE"/>
    <w:rsid w:val="3B8B1A48"/>
    <w:rsid w:val="3CCE564F"/>
    <w:rsid w:val="3F2F3033"/>
    <w:rsid w:val="403365B9"/>
    <w:rsid w:val="406D3E12"/>
    <w:rsid w:val="413309AB"/>
    <w:rsid w:val="41697F5C"/>
    <w:rsid w:val="4346094B"/>
    <w:rsid w:val="44C2560B"/>
    <w:rsid w:val="44C6048B"/>
    <w:rsid w:val="476B0980"/>
    <w:rsid w:val="479E48B1"/>
    <w:rsid w:val="47EF335F"/>
    <w:rsid w:val="480974F3"/>
    <w:rsid w:val="49050E8A"/>
    <w:rsid w:val="49675177"/>
    <w:rsid w:val="4A2C2648"/>
    <w:rsid w:val="4BE27368"/>
    <w:rsid w:val="4DFA163E"/>
    <w:rsid w:val="4E0525D3"/>
    <w:rsid w:val="4EC63F8E"/>
    <w:rsid w:val="4F3B50DC"/>
    <w:rsid w:val="510559A1"/>
    <w:rsid w:val="522354CE"/>
    <w:rsid w:val="52621300"/>
    <w:rsid w:val="54330A77"/>
    <w:rsid w:val="55EC7F63"/>
    <w:rsid w:val="56366EE2"/>
    <w:rsid w:val="57CE7CB0"/>
    <w:rsid w:val="57F81DBC"/>
    <w:rsid w:val="5A186745"/>
    <w:rsid w:val="5ABF12B7"/>
    <w:rsid w:val="5B7A06E5"/>
    <w:rsid w:val="5BA87F9D"/>
    <w:rsid w:val="5EA2590F"/>
    <w:rsid w:val="5F5E1D1B"/>
    <w:rsid w:val="613100ED"/>
    <w:rsid w:val="614961C7"/>
    <w:rsid w:val="627C5D13"/>
    <w:rsid w:val="63DF07E7"/>
    <w:rsid w:val="63EF2849"/>
    <w:rsid w:val="648D1ADE"/>
    <w:rsid w:val="6639419A"/>
    <w:rsid w:val="67EB5499"/>
    <w:rsid w:val="6A1A02B8"/>
    <w:rsid w:val="6A647785"/>
    <w:rsid w:val="6C2B2308"/>
    <w:rsid w:val="6CA64085"/>
    <w:rsid w:val="6CE3242E"/>
    <w:rsid w:val="6DC65610"/>
    <w:rsid w:val="6F06705D"/>
    <w:rsid w:val="6F894425"/>
    <w:rsid w:val="715B3690"/>
    <w:rsid w:val="71A90436"/>
    <w:rsid w:val="71B2527A"/>
    <w:rsid w:val="71E91264"/>
    <w:rsid w:val="7289422C"/>
    <w:rsid w:val="73681026"/>
    <w:rsid w:val="74535371"/>
    <w:rsid w:val="74F04DC1"/>
    <w:rsid w:val="75575F1C"/>
    <w:rsid w:val="762229CE"/>
    <w:rsid w:val="766A7ED1"/>
    <w:rsid w:val="76CD220E"/>
    <w:rsid w:val="771D4F43"/>
    <w:rsid w:val="79694470"/>
    <w:rsid w:val="79DC01FD"/>
    <w:rsid w:val="7A755961"/>
    <w:rsid w:val="7AEA7F69"/>
    <w:rsid w:val="7C4D1E27"/>
    <w:rsid w:val="7D11554A"/>
    <w:rsid w:val="7D9817C8"/>
    <w:rsid w:val="7EDD6419"/>
    <w:rsid w:val="7EFC20CE"/>
    <w:rsid w:val="7F32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4079</Words>
  <Characters>4194</Characters>
  <Lines>0</Lines>
  <Paragraphs>0</Paragraphs>
  <TotalTime>1</TotalTime>
  <ScaleCrop>false</ScaleCrop>
  <LinksUpToDate>false</LinksUpToDate>
  <CharactersWithSpaces>4936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2024-07-18T07:08:00Z</dcterms:created>
  <dc:creator>三亚众辉</dc:creator>
  <cp:lastModifiedBy>海南农交办公账号</cp:lastModifiedBy>
  <dcterms:modified xsi:type="dcterms:W3CDTF">2025-07-16T07:54:41Z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0D77A55FF5044C93804BDC891A8F29D7_13</vt:lpwstr>
  </property>
  <property fmtid="{D5CDD505-2E9C-101B-9397-08002B2CF9AE}" pid="4" name="KSOTemplateDocerSaveRecord">
    <vt:lpwstr>eyJoZGlkIjoiYWFhYjE4MWFmOGQwMzBiMjRmYTI3Y2I3MzVhNDRkOTAiLCJ1c2VySWQiOiIxNTc0MTczNzE3In0=</vt:lpwstr>
  </property>
</Properties>
</file>