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9D0175">
      <w:pPr>
        <w:snapToGrid w:val="0"/>
        <w:spacing w:line="560" w:lineRule="exact"/>
        <w:jc w:val="center"/>
        <w:textAlignment w:val="baseline"/>
        <w:rPr>
          <w:rFonts w:hint="eastAsia" w:ascii="方正小标宋简体" w:hAnsi="方正小标宋简体" w:eastAsia="方正小标宋简体" w:cs="方正小标宋简体"/>
          <w:sz w:val="44"/>
          <w:szCs w:val="44"/>
        </w:rPr>
      </w:pPr>
      <w:bookmarkStart w:id="0" w:name="_GoBack"/>
      <w:bookmarkEnd w:id="0"/>
      <w:r>
        <w:rPr>
          <w:rFonts w:hint="eastAsia" w:ascii="宋体" w:hAnsi="宋体" w:eastAsia="宋体" w:cs="宋体"/>
          <w:b/>
          <w:bCs/>
          <w:kern w:val="0"/>
          <w:sz w:val="36"/>
          <w:szCs w:val="36"/>
          <w:lang w:val="en-US" w:eastAsia="zh-CN"/>
        </w:rPr>
        <w:t xml:space="preserve"> </w:t>
      </w:r>
      <w:r>
        <w:rPr>
          <w:rFonts w:hint="eastAsia" w:ascii="方正小标宋简体" w:hAnsi="方正小标宋简体" w:eastAsia="方正小标宋简体" w:cs="方正小标宋简体"/>
          <w:sz w:val="44"/>
          <w:szCs w:val="44"/>
          <w:lang w:val="en-US" w:eastAsia="zh-CN"/>
        </w:rPr>
        <w:t>潭榄洋蔬菜</w:t>
      </w:r>
      <w:r>
        <w:rPr>
          <w:rFonts w:hint="eastAsia" w:ascii="方正小标宋简体" w:hAnsi="方正小标宋简体" w:eastAsia="方正小标宋简体" w:cs="方正小标宋简体"/>
          <w:sz w:val="44"/>
          <w:szCs w:val="44"/>
        </w:rPr>
        <w:t>大棚承包合同</w:t>
      </w:r>
    </w:p>
    <w:p w14:paraId="6E363E70">
      <w:pPr>
        <w:pStyle w:val="2"/>
        <w:rPr>
          <w:rFonts w:hint="eastAsia"/>
        </w:rPr>
      </w:pPr>
    </w:p>
    <w:p w14:paraId="33066507">
      <w:pPr>
        <w:keepNext w:val="0"/>
        <w:keepLines w:val="0"/>
        <w:pageBreakBefore w:val="0"/>
        <w:kinsoku/>
        <w:overflowPunct/>
        <w:topLinePunct w:val="0"/>
        <w:autoSpaceDE/>
        <w:autoSpaceDN/>
        <w:bidi w:val="0"/>
        <w:spacing w:line="520" w:lineRule="exact"/>
        <w:textAlignment w:val="auto"/>
        <w:rPr>
          <w:rFonts w:hint="eastAsia" w:ascii="仿宋_GB2312" w:hAnsi="仿宋_GB2312" w:eastAsia="仿宋_GB2312" w:cs="仿宋_GB2312"/>
          <w:b/>
          <w:sz w:val="28"/>
          <w:szCs w:val="28"/>
        </w:rPr>
      </w:pPr>
      <w:r>
        <w:rPr>
          <w:rFonts w:hint="eastAsia" w:ascii="仿宋_GB2312" w:hAnsi="仿宋_GB2312" w:eastAsia="仿宋_GB2312" w:cs="仿宋_GB2312"/>
          <w:b/>
          <w:sz w:val="28"/>
          <w:szCs w:val="28"/>
        </w:rPr>
        <w:t>甲方（发包方）：</w:t>
      </w:r>
      <w:r>
        <w:rPr>
          <w:rFonts w:hint="eastAsia" w:ascii="仿宋_GB2312" w:hAnsi="仿宋_GB2312" w:eastAsia="仿宋_GB2312" w:cs="仿宋_GB2312"/>
          <w:sz w:val="28"/>
          <w:szCs w:val="28"/>
          <w:u w:val="single"/>
          <w:lang w:val="en-US" w:eastAsia="zh-CN"/>
        </w:rPr>
        <w:t>定安县菜篮子产业服务有限公司</w:t>
      </w:r>
    </w:p>
    <w:p w14:paraId="688AB559">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统一社会信用代码/身份证号：</w:t>
      </w:r>
      <w:r>
        <w:rPr>
          <w:rFonts w:hint="eastAsia" w:ascii="仿宋_GB2312" w:hAnsi="仿宋_GB2312" w:eastAsia="仿宋_GB2312" w:cs="仿宋_GB2312"/>
          <w:sz w:val="28"/>
          <w:szCs w:val="28"/>
          <w:u w:val="single"/>
          <w:lang w:val="en-US" w:eastAsia="zh-CN"/>
        </w:rPr>
        <w:t>91469025MAA9227N2Q</w:t>
      </w:r>
    </w:p>
    <w:p w14:paraId="2D1E120E">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联系地址：</w:t>
      </w:r>
      <w:r>
        <w:rPr>
          <w:rFonts w:hint="eastAsia" w:ascii="仿宋_GB2312" w:hAnsi="仿宋_GB2312" w:eastAsia="仿宋_GB2312" w:cs="仿宋_GB2312"/>
          <w:sz w:val="28"/>
          <w:szCs w:val="28"/>
          <w:u w:val="single"/>
          <w:lang w:val="en-US" w:eastAsia="zh-CN"/>
        </w:rPr>
        <w:t>海南省定安县定城镇塔岭栖凤路6号天际名城110号铺面2楼</w:t>
      </w:r>
    </w:p>
    <w:p w14:paraId="358F505E">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林尤桐</w:t>
      </w:r>
      <w:r>
        <w:rPr>
          <w:rFonts w:hint="eastAsia" w:ascii="仿宋_GB2312" w:hAnsi="仿宋_GB2312" w:eastAsia="仿宋_GB2312" w:cs="仿宋_GB2312"/>
          <w:sz w:val="28"/>
          <w:szCs w:val="28"/>
        </w:rPr>
        <w:t>；联系电话：</w:t>
      </w:r>
      <w:r>
        <w:rPr>
          <w:rFonts w:hint="eastAsia" w:ascii="仿宋_GB2312" w:hAnsi="仿宋_GB2312" w:eastAsia="仿宋_GB2312" w:cs="仿宋_GB2312"/>
          <w:sz w:val="28"/>
          <w:szCs w:val="28"/>
          <w:u w:val="single"/>
          <w:lang w:val="en-US" w:eastAsia="zh-CN"/>
        </w:rPr>
        <w:t>1</w:t>
      </w:r>
      <w:r>
        <w:rPr>
          <w:rFonts w:hint="eastAsia" w:hAnsi="仿宋_GB2312" w:cs="仿宋_GB2312"/>
          <w:sz w:val="28"/>
          <w:szCs w:val="28"/>
          <w:u w:val="single"/>
          <w:lang w:val="en-US" w:eastAsia="zh-CN"/>
        </w:rPr>
        <w:t>8589670107</w:t>
      </w:r>
    </w:p>
    <w:p w14:paraId="6708F661">
      <w:pPr>
        <w:keepNext w:val="0"/>
        <w:keepLines w:val="0"/>
        <w:pageBreakBefore w:val="0"/>
        <w:kinsoku/>
        <w:overflowPunct/>
        <w:topLinePunct w:val="0"/>
        <w:autoSpaceDE/>
        <w:autoSpaceDN/>
        <w:bidi w:val="0"/>
        <w:spacing w:line="520" w:lineRule="exact"/>
        <w:textAlignment w:val="auto"/>
        <w:rPr>
          <w:rFonts w:hint="default" w:ascii="仿宋_GB2312" w:hAnsi="仿宋_GB2312" w:eastAsia="仿宋_GB2312" w:cs="仿宋_GB2312"/>
          <w:b/>
          <w:sz w:val="28"/>
          <w:szCs w:val="28"/>
          <w:lang w:val="en-US"/>
        </w:rPr>
      </w:pPr>
      <w:r>
        <w:rPr>
          <w:rFonts w:hint="eastAsia" w:ascii="仿宋_GB2312" w:hAnsi="仿宋_GB2312" w:eastAsia="仿宋_GB2312" w:cs="仿宋_GB2312"/>
          <w:b/>
          <w:sz w:val="28"/>
          <w:szCs w:val="28"/>
        </w:rPr>
        <w:t>乙方（承包方）：</w:t>
      </w:r>
      <w:r>
        <w:rPr>
          <w:rFonts w:hint="eastAsia" w:hAnsi="仿宋_GB2312" w:cs="仿宋_GB2312"/>
          <w:sz w:val="28"/>
          <w:szCs w:val="28"/>
          <w:u w:val="single"/>
          <w:lang w:val="en-US" w:eastAsia="zh-CN"/>
        </w:rPr>
        <w:t xml:space="preserve">                                               </w:t>
      </w:r>
    </w:p>
    <w:p w14:paraId="3900EFC9">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统一社会信用代码/身份证号：</w:t>
      </w:r>
      <w:r>
        <w:rPr>
          <w:rFonts w:hint="eastAsia" w:hAnsi="仿宋_GB2312" w:cs="仿宋_GB2312"/>
          <w:sz w:val="28"/>
          <w:szCs w:val="28"/>
          <w:u w:val="single"/>
          <w:lang w:val="en-US" w:eastAsia="zh-CN"/>
        </w:rPr>
        <w:t xml:space="preserve">                                </w:t>
      </w:r>
    </w:p>
    <w:p w14:paraId="0B98EB0D">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联系地址：</w:t>
      </w:r>
      <w:r>
        <w:rPr>
          <w:rFonts w:hint="eastAsia" w:hAnsi="仿宋_GB2312" w:cs="仿宋_GB2312"/>
          <w:sz w:val="28"/>
          <w:szCs w:val="28"/>
          <w:u w:val="single"/>
          <w:lang w:val="en-US" w:eastAsia="zh-CN"/>
        </w:rPr>
        <w:t xml:space="preserve">                                                 </w:t>
      </w:r>
    </w:p>
    <w:p w14:paraId="7A608F07">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 xml:space="preserve">                    </w:t>
      </w:r>
      <w:r>
        <w:rPr>
          <w:rFonts w:hint="eastAsia" w:ascii="仿宋_GB2312" w:hAnsi="仿宋_GB2312" w:eastAsia="仿宋_GB2312" w:cs="仿宋_GB2312"/>
          <w:sz w:val="28"/>
          <w:szCs w:val="28"/>
          <w:u w:val="single"/>
          <w:lang w:val="en-US" w:eastAsia="zh-CN"/>
        </w:rPr>
        <w:t>；联系电话：</w:t>
      </w:r>
      <w:r>
        <w:rPr>
          <w:rFonts w:hint="eastAsia" w:hAnsi="仿宋_GB2312" w:cs="仿宋_GB2312"/>
          <w:sz w:val="28"/>
          <w:szCs w:val="28"/>
          <w:u w:val="single"/>
          <w:lang w:val="en-US" w:eastAsia="zh-CN"/>
        </w:rPr>
        <w:t xml:space="preserve">                   </w:t>
      </w:r>
    </w:p>
    <w:p w14:paraId="2E0E4E97">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甲乙双方本着互惠互利、共同发展的原则，根据《中华人民共和国民法典》等相关法律，就甲方将其果蔬大棚</w:t>
      </w:r>
      <w:r>
        <w:rPr>
          <w:rFonts w:hint="eastAsia" w:ascii="仿宋_GB2312" w:hAnsi="仿宋_GB2312" w:eastAsia="仿宋_GB2312" w:cs="仿宋_GB2312"/>
          <w:sz w:val="32"/>
          <w:szCs w:val="32"/>
          <w:lang w:val="en-US" w:eastAsia="zh-CN"/>
        </w:rPr>
        <w:t>部分</w:t>
      </w:r>
      <w:r>
        <w:rPr>
          <w:rFonts w:hint="eastAsia" w:ascii="仿宋_GB2312" w:hAnsi="仿宋_GB2312" w:eastAsia="仿宋_GB2312" w:cs="仿宋_GB2312"/>
          <w:sz w:val="32"/>
          <w:szCs w:val="32"/>
        </w:rPr>
        <w:t>委托给乙方承包经营事宜，达成共识，特订立如下合同条款，以资双方共同信守。</w:t>
      </w:r>
    </w:p>
    <w:p w14:paraId="3BD2833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第一条  大</w:t>
      </w:r>
      <w:r>
        <w:rPr>
          <w:rFonts w:hint="eastAsia" w:ascii="仿宋_GB2312" w:hAnsi="仿宋_GB2312" w:eastAsia="仿宋_GB2312" w:cs="仿宋_GB2312"/>
          <w:b/>
          <w:bCs/>
          <w:sz w:val="32"/>
          <w:szCs w:val="32"/>
        </w:rPr>
        <w:t>棚基本情况</w:t>
      </w:r>
    </w:p>
    <w:p w14:paraId="7EC3277C">
      <w:pPr>
        <w:keepNext w:val="0"/>
        <w:keepLines w:val="0"/>
        <w:pageBreakBefore w:val="0"/>
        <w:numPr>
          <w:ilvl w:val="0"/>
          <w:numId w:val="1"/>
        </w:numPr>
        <w:kinsoku/>
        <w:wordWrap w:val="0"/>
        <w:overflowPunct/>
        <w:topLinePunct w:val="0"/>
        <w:autoSpaceDE/>
        <w:autoSpaceDN/>
        <w:bidi w:val="0"/>
        <w:adjustRightInd w:val="0"/>
        <w:snapToGrid w:val="0"/>
        <w:spacing w:line="520" w:lineRule="exact"/>
        <w:ind w:left="0" w:leftChars="0" w:firstLine="632" w:firstLineChars="200"/>
        <w:textAlignment w:val="auto"/>
        <w:outlineLvl w:val="0"/>
        <w:rPr>
          <w:rFonts w:hint="eastAsia" w:ascii="仿宋_GB2312" w:hAnsi="仿宋_GB2312" w:eastAsia="仿宋_GB2312" w:cs="仿宋_GB2312"/>
          <w:color w:val="FF0000"/>
          <w:sz w:val="32"/>
          <w:szCs w:val="32"/>
        </w:rPr>
      </w:pPr>
      <w:r>
        <w:rPr>
          <w:rFonts w:hint="eastAsia" w:ascii="仿宋_GB2312" w:hAnsi="仿宋_GB2312" w:eastAsia="仿宋_GB2312" w:cs="仿宋_GB2312"/>
          <w:color w:val="FF0000"/>
          <w:sz w:val="32"/>
          <w:szCs w:val="32"/>
          <w:highlight w:val="yellow"/>
        </w:rPr>
        <w:t>甲方将位于</w:t>
      </w:r>
      <w:r>
        <w:rPr>
          <w:rFonts w:hint="eastAsia" w:ascii="仿宋_GB2312" w:hAnsi="仿宋_GB2312" w:eastAsia="仿宋_GB2312" w:cs="仿宋_GB2312"/>
          <w:color w:val="FF0000"/>
          <w:sz w:val="32"/>
          <w:szCs w:val="32"/>
          <w:highlight w:val="yellow"/>
          <w:u w:val="single"/>
          <w:lang w:eastAsia="zh-CN"/>
        </w:rPr>
        <w:t>海南</w:t>
      </w:r>
      <w:r>
        <w:rPr>
          <w:rFonts w:hint="eastAsia" w:ascii="仿宋_GB2312" w:hAnsi="仿宋_GB2312" w:eastAsia="仿宋_GB2312" w:cs="仿宋_GB2312"/>
          <w:color w:val="FF0000"/>
          <w:sz w:val="32"/>
          <w:szCs w:val="32"/>
          <w:highlight w:val="yellow"/>
        </w:rPr>
        <w:t>省</w:t>
      </w:r>
      <w:r>
        <w:rPr>
          <w:rFonts w:hint="eastAsia" w:ascii="仿宋_GB2312" w:hAnsi="仿宋_GB2312" w:eastAsia="仿宋_GB2312" w:cs="仿宋_GB2312"/>
          <w:color w:val="FF0000"/>
          <w:sz w:val="32"/>
          <w:szCs w:val="32"/>
          <w:highlight w:val="yellow"/>
          <w:u w:val="single"/>
          <w:lang w:eastAsia="zh-CN"/>
        </w:rPr>
        <w:t>定安</w:t>
      </w:r>
      <w:r>
        <w:rPr>
          <w:rFonts w:hint="eastAsia" w:ascii="仿宋_GB2312" w:hAnsi="仿宋_GB2312" w:eastAsia="仿宋_GB2312" w:cs="仿宋_GB2312"/>
          <w:color w:val="FF0000"/>
          <w:sz w:val="32"/>
          <w:szCs w:val="32"/>
          <w:highlight w:val="yellow"/>
        </w:rPr>
        <w:t>县（区）</w:t>
      </w:r>
      <w:r>
        <w:rPr>
          <w:rFonts w:hint="eastAsia" w:ascii="仿宋_GB2312" w:hAnsi="仿宋_GB2312" w:eastAsia="仿宋_GB2312" w:cs="仿宋_GB2312"/>
          <w:color w:val="FF0000"/>
          <w:sz w:val="32"/>
          <w:szCs w:val="32"/>
          <w:highlight w:val="yellow"/>
          <w:u w:val="single"/>
          <w:lang w:eastAsia="zh-CN"/>
        </w:rPr>
        <w:t>定城</w:t>
      </w:r>
      <w:r>
        <w:rPr>
          <w:rFonts w:hint="eastAsia" w:ascii="仿宋_GB2312" w:hAnsi="仿宋_GB2312" w:eastAsia="仿宋_GB2312" w:cs="仿宋_GB2312"/>
          <w:color w:val="FF0000"/>
          <w:sz w:val="32"/>
          <w:szCs w:val="32"/>
          <w:highlight w:val="yellow"/>
        </w:rPr>
        <w:t>镇（乡）</w:t>
      </w:r>
      <w:r>
        <w:rPr>
          <w:rFonts w:hint="eastAsia" w:ascii="仿宋_GB2312" w:hAnsi="仿宋_GB2312" w:eastAsia="仿宋_GB2312" w:cs="仿宋_GB2312"/>
          <w:color w:val="FF0000"/>
          <w:sz w:val="32"/>
          <w:szCs w:val="32"/>
          <w:highlight w:val="yellow"/>
          <w:u w:val="single"/>
          <w:lang w:eastAsia="zh-CN"/>
        </w:rPr>
        <w:t>良田</w:t>
      </w:r>
      <w:r>
        <w:rPr>
          <w:rFonts w:hint="eastAsia" w:ascii="仿宋_GB2312" w:hAnsi="仿宋_GB2312" w:eastAsia="仿宋_GB2312" w:cs="仿宋_GB2312"/>
          <w:color w:val="FF0000"/>
          <w:sz w:val="32"/>
          <w:szCs w:val="32"/>
          <w:highlight w:val="yellow"/>
        </w:rPr>
        <w:t>村的占地总面积为</w:t>
      </w:r>
      <w:r>
        <w:rPr>
          <w:rFonts w:hint="eastAsia" w:hAnsi="仿宋_GB2312" w:cs="仿宋_GB2312"/>
          <w:color w:val="FF0000"/>
          <w:sz w:val="32"/>
          <w:szCs w:val="32"/>
          <w:highlight w:val="yellow"/>
          <w:lang w:val="en-US" w:eastAsia="zh-CN"/>
        </w:rPr>
        <w:t>28.79</w:t>
      </w:r>
      <w:r>
        <w:rPr>
          <w:rFonts w:hint="eastAsia" w:ascii="仿宋_GB2312" w:hAnsi="仿宋_GB2312" w:eastAsia="仿宋_GB2312" w:cs="仿宋_GB2312"/>
          <w:color w:val="FF0000"/>
          <w:sz w:val="32"/>
          <w:szCs w:val="32"/>
          <w:highlight w:val="yellow"/>
          <w:lang w:val="en-US" w:eastAsia="zh-CN"/>
        </w:rPr>
        <w:t>亩</w:t>
      </w:r>
      <w:r>
        <w:rPr>
          <w:rFonts w:hint="eastAsia" w:ascii="仿宋_GB2312" w:hAnsi="仿宋_GB2312" w:eastAsia="仿宋_GB2312" w:cs="仿宋_GB2312"/>
          <w:color w:val="FF0000"/>
          <w:sz w:val="32"/>
          <w:szCs w:val="32"/>
          <w:highlight w:val="yellow"/>
        </w:rPr>
        <w:t>的</w:t>
      </w:r>
      <w:r>
        <w:rPr>
          <w:rFonts w:hint="eastAsia" w:ascii="仿宋_GB2312" w:hAnsi="仿宋_GB2312" w:eastAsia="仿宋_GB2312" w:cs="仿宋_GB2312"/>
          <w:color w:val="FF0000"/>
          <w:sz w:val="32"/>
          <w:szCs w:val="32"/>
          <w:highlight w:val="yellow"/>
          <w:lang w:val="en-US" w:eastAsia="zh-CN"/>
        </w:rPr>
        <w:t>简易</w:t>
      </w:r>
      <w:r>
        <w:rPr>
          <w:rFonts w:hint="eastAsia" w:ascii="仿宋_GB2312" w:hAnsi="仿宋_GB2312" w:eastAsia="仿宋_GB2312" w:cs="仿宋_GB2312"/>
          <w:color w:val="FF0000"/>
          <w:sz w:val="32"/>
          <w:szCs w:val="32"/>
          <w:highlight w:val="yellow"/>
        </w:rPr>
        <w:t>大棚（详见下列基本情况表，以下</w:t>
      </w:r>
      <w:r>
        <w:rPr>
          <w:rFonts w:hint="eastAsia" w:ascii="仿宋_GB2312" w:hAnsi="仿宋_GB2312" w:eastAsia="仿宋_GB2312" w:cs="仿宋_GB2312"/>
          <w:color w:val="FF0000"/>
          <w:sz w:val="32"/>
          <w:szCs w:val="32"/>
          <w:highlight w:val="yellow"/>
          <w:lang w:val="en-US" w:eastAsia="zh-CN"/>
        </w:rPr>
        <w:t>简易大棚</w:t>
      </w:r>
      <w:r>
        <w:rPr>
          <w:rFonts w:hint="eastAsia" w:ascii="仿宋_GB2312" w:hAnsi="仿宋_GB2312" w:eastAsia="仿宋_GB2312" w:cs="仿宋_GB2312"/>
          <w:color w:val="FF0000"/>
          <w:sz w:val="32"/>
          <w:szCs w:val="32"/>
          <w:highlight w:val="yellow"/>
        </w:rPr>
        <w:t>简称“</w:t>
      </w:r>
      <w:r>
        <w:rPr>
          <w:rFonts w:hint="eastAsia" w:ascii="仿宋_GB2312" w:hAnsi="仿宋_GB2312" w:eastAsia="仿宋_GB2312" w:cs="仿宋_GB2312"/>
          <w:color w:val="FF0000"/>
          <w:sz w:val="32"/>
          <w:szCs w:val="32"/>
          <w:highlight w:val="yellow"/>
          <w:lang w:val="en-US" w:eastAsia="zh-CN"/>
        </w:rPr>
        <w:t>种植</w:t>
      </w:r>
      <w:r>
        <w:rPr>
          <w:rFonts w:hint="eastAsia" w:ascii="仿宋_GB2312" w:hAnsi="仿宋_GB2312" w:eastAsia="仿宋_GB2312" w:cs="仿宋_GB2312"/>
          <w:color w:val="FF0000"/>
          <w:sz w:val="32"/>
          <w:szCs w:val="32"/>
          <w:highlight w:val="yellow"/>
        </w:rPr>
        <w:t>棚”）承包给乙方，从事果蔬种植经营。</w:t>
      </w:r>
    </w:p>
    <w:tbl>
      <w:tblPr>
        <w:tblStyle w:val="17"/>
        <w:tblW w:w="86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008"/>
        <w:gridCol w:w="1435"/>
        <w:gridCol w:w="2544"/>
        <w:gridCol w:w="1897"/>
      </w:tblGrid>
      <w:tr w14:paraId="53C78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trPr>
        <w:tc>
          <w:tcPr>
            <w:tcW w:w="736" w:type="dxa"/>
            <w:vAlign w:val="center"/>
          </w:tcPr>
          <w:p w14:paraId="7AF3009A">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序号</w:t>
            </w:r>
          </w:p>
        </w:tc>
        <w:tc>
          <w:tcPr>
            <w:tcW w:w="2008" w:type="dxa"/>
            <w:vAlign w:val="center"/>
          </w:tcPr>
          <w:p w14:paraId="2C44340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大棚地块名称</w:t>
            </w:r>
          </w:p>
        </w:tc>
        <w:tc>
          <w:tcPr>
            <w:tcW w:w="1435" w:type="dxa"/>
            <w:vAlign w:val="center"/>
          </w:tcPr>
          <w:p w14:paraId="58642F28">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面积（亩）</w:t>
            </w:r>
          </w:p>
        </w:tc>
        <w:tc>
          <w:tcPr>
            <w:tcW w:w="2544" w:type="dxa"/>
            <w:vAlign w:val="center"/>
          </w:tcPr>
          <w:p w14:paraId="35F80FAF">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编号</w:t>
            </w:r>
          </w:p>
        </w:tc>
        <w:tc>
          <w:tcPr>
            <w:tcW w:w="1897" w:type="dxa"/>
            <w:vAlign w:val="center"/>
          </w:tcPr>
          <w:p w14:paraId="2FA30C6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备注</w:t>
            </w:r>
          </w:p>
        </w:tc>
      </w:tr>
      <w:tr w14:paraId="54C57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36" w:type="dxa"/>
            <w:vAlign w:val="center"/>
          </w:tcPr>
          <w:p w14:paraId="2E00E475">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1</w:t>
            </w:r>
          </w:p>
        </w:tc>
        <w:tc>
          <w:tcPr>
            <w:tcW w:w="2008" w:type="dxa"/>
            <w:vAlign w:val="center"/>
          </w:tcPr>
          <w:p w14:paraId="5EAE44D6">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sz w:val="32"/>
                <w:szCs w:val="32"/>
                <w:lang w:eastAsia="zh-CN"/>
              </w:rPr>
              <w:t>潭榄洋蔬菜大棚基地</w:t>
            </w:r>
          </w:p>
        </w:tc>
        <w:tc>
          <w:tcPr>
            <w:tcW w:w="1435" w:type="dxa"/>
            <w:vAlign w:val="center"/>
          </w:tcPr>
          <w:p w14:paraId="7BF8BA1D">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sz w:val="32"/>
                <w:szCs w:val="32"/>
                <w:lang w:val="en-US" w:eastAsia="zh-CN"/>
              </w:rPr>
            </w:pPr>
            <w:r>
              <w:rPr>
                <w:rFonts w:hint="eastAsia" w:hAnsi="仿宋_GB2312" w:cs="仿宋_GB2312"/>
                <w:sz w:val="32"/>
                <w:szCs w:val="32"/>
                <w:lang w:val="en-US" w:eastAsia="zh-CN"/>
              </w:rPr>
              <w:t>28.79</w:t>
            </w:r>
            <w:r>
              <w:rPr>
                <w:rFonts w:hint="eastAsia" w:ascii="仿宋_GB2312" w:hAnsi="仿宋_GB2312" w:eastAsia="仿宋_GB2312" w:cs="仿宋_GB2312"/>
                <w:sz w:val="32"/>
                <w:szCs w:val="32"/>
                <w:lang w:val="en-US" w:eastAsia="zh-CN"/>
              </w:rPr>
              <w:t>亩</w:t>
            </w:r>
          </w:p>
        </w:tc>
        <w:tc>
          <w:tcPr>
            <w:tcW w:w="2544" w:type="dxa"/>
            <w:vAlign w:val="center"/>
          </w:tcPr>
          <w:p w14:paraId="4965835E">
            <w:pPr>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仿宋_GB2312" w:hAnsi="仿宋_GB2312" w:eastAsia="仿宋_GB2312" w:cs="仿宋_GB2312"/>
                <w:b w:val="0"/>
                <w:bCs w:val="0"/>
                <w:sz w:val="32"/>
                <w:szCs w:val="32"/>
                <w:lang w:val="en-US" w:eastAsia="zh-CN"/>
              </w:rPr>
            </w:pPr>
            <w:r>
              <w:rPr>
                <w:rFonts w:hint="eastAsia" w:hAnsi="仿宋_GB2312" w:cs="仿宋_GB2312"/>
                <w:sz w:val="32"/>
                <w:szCs w:val="32"/>
                <w:highlight w:val="none"/>
                <w:lang w:val="en-US" w:eastAsia="zh-CN"/>
              </w:rPr>
              <w:t>种植</w:t>
            </w:r>
            <w:r>
              <w:rPr>
                <w:rFonts w:hint="eastAsia" w:ascii="仿宋_GB2312" w:hAnsi="仿宋_GB2312" w:eastAsia="仿宋_GB2312" w:cs="仿宋_GB2312"/>
                <w:sz w:val="32"/>
                <w:szCs w:val="32"/>
                <w:highlight w:val="none"/>
              </w:rPr>
              <w:t>棚</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w:t>
            </w:r>
            <w:r>
              <w:rPr>
                <w:rFonts w:hint="eastAsia" w:ascii="仿宋_GB2312" w:hAnsi="仿宋_GB2312" w:eastAsia="仿宋_GB2312" w:cs="仿宋_GB2312"/>
                <w:sz w:val="32"/>
                <w:szCs w:val="32"/>
                <w:lang w:val="en-US" w:eastAsia="zh-CN"/>
              </w:rPr>
              <w:t>5#，</w:t>
            </w:r>
            <w:r>
              <w:rPr>
                <w:rFonts w:hint="eastAsia" w:hAnsi="仿宋_GB2312" w:cs="仿宋_GB2312"/>
                <w:sz w:val="32"/>
                <w:szCs w:val="32"/>
                <w:lang w:val="en-US" w:eastAsia="zh-CN"/>
              </w:rPr>
              <w:t>16</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17</w:t>
            </w:r>
            <w:r>
              <w:rPr>
                <w:rFonts w:hint="eastAsia" w:ascii="仿宋_GB2312" w:hAnsi="仿宋_GB2312" w:eastAsia="仿宋_GB2312" w:cs="仿宋_GB2312"/>
                <w:sz w:val="32"/>
                <w:szCs w:val="32"/>
                <w:lang w:val="en-US" w:eastAsia="zh-CN"/>
              </w:rPr>
              <w:t>#</w:t>
            </w:r>
          </w:p>
        </w:tc>
        <w:tc>
          <w:tcPr>
            <w:tcW w:w="1897" w:type="dxa"/>
            <w:vAlign w:val="center"/>
          </w:tcPr>
          <w:p w14:paraId="7153A4B6">
            <w:pPr>
              <w:keepNext w:val="0"/>
              <w:keepLines w:val="0"/>
              <w:pageBreakBefore w:val="0"/>
              <w:kinsoku/>
              <w:overflowPunct/>
              <w:topLinePunct w:val="0"/>
              <w:autoSpaceDE/>
              <w:autoSpaceDN/>
              <w:bidi w:val="0"/>
              <w:spacing w:line="520" w:lineRule="exact"/>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乙方自行运营种植蔬菜</w:t>
            </w:r>
          </w:p>
        </w:tc>
      </w:tr>
    </w:tbl>
    <w:p w14:paraId="265FC9A0">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1036" w:firstLineChars="328"/>
        <w:rPr>
          <w:rFonts w:hint="eastAsia" w:ascii="仿宋_GB2312" w:hAnsi="仿宋_GB2312" w:eastAsia="仿宋_GB2312" w:cs="仿宋_GB2312"/>
          <w:b/>
          <w:bCs/>
          <w:sz w:val="32"/>
          <w:szCs w:val="32"/>
          <w:lang w:val="en-US" w:eastAsia="zh-CN"/>
        </w:rPr>
      </w:pPr>
    </w:p>
    <w:p w14:paraId="221DD4B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第二条  </w:t>
      </w:r>
      <w:r>
        <w:rPr>
          <w:rFonts w:hint="eastAsia" w:ascii="仿宋_GB2312" w:hAnsi="仿宋_GB2312" w:eastAsia="仿宋_GB2312" w:cs="仿宋_GB2312"/>
          <w:b/>
          <w:bCs/>
          <w:sz w:val="32"/>
          <w:szCs w:val="32"/>
        </w:rPr>
        <w:t>承包期限和交付时间</w:t>
      </w:r>
    </w:p>
    <w:p w14:paraId="2F2C52AC">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948" w:leftChars="200" w:hanging="316" w:hangingChars="100"/>
        <w:outlineLvl w:val="0"/>
        <w:rPr>
          <w:rFonts w:hint="eastAsia" w:ascii="仿宋_GB2312" w:hAnsi="仿宋_GB2312" w:eastAsia="仿宋_GB2312" w:cs="仿宋_GB2312"/>
          <w:color w:val="FF0000"/>
          <w:sz w:val="32"/>
          <w:szCs w:val="32"/>
          <w:lang w:val="en-US" w:eastAsia="zh-CN"/>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color w:val="FF0000"/>
          <w:sz w:val="32"/>
          <w:szCs w:val="32"/>
          <w:highlight w:val="yellow"/>
          <w:lang w:val="en-US" w:eastAsia="zh-CN"/>
        </w:rPr>
        <w:t>合同期限为</w:t>
      </w:r>
      <w:r>
        <w:rPr>
          <w:rFonts w:hint="eastAsia" w:hAnsi="仿宋_GB2312" w:cs="仿宋_GB2312"/>
          <w:color w:val="FF0000"/>
          <w:sz w:val="32"/>
          <w:szCs w:val="32"/>
          <w:highlight w:val="yellow"/>
          <w:lang w:val="en-US" w:eastAsia="zh-CN"/>
        </w:rPr>
        <w:t>一</w:t>
      </w:r>
      <w:r>
        <w:rPr>
          <w:rFonts w:hint="eastAsia" w:ascii="仿宋_GB2312" w:hAnsi="仿宋_GB2312" w:eastAsia="仿宋_GB2312" w:cs="仿宋_GB2312"/>
          <w:color w:val="FF0000"/>
          <w:sz w:val="32"/>
          <w:szCs w:val="32"/>
          <w:highlight w:val="yellow"/>
          <w:lang w:val="en-US" w:eastAsia="zh-CN"/>
        </w:rPr>
        <w:t>年：</w:t>
      </w:r>
      <w:r>
        <w:rPr>
          <w:rFonts w:hint="eastAsia" w:hAnsi="仿宋_GB2312" w:cs="仿宋_GB2312"/>
          <w:color w:val="FF0000"/>
          <w:sz w:val="32"/>
          <w:szCs w:val="32"/>
          <w:highlight w:val="yellow"/>
          <w:lang w:val="en-US" w:eastAsia="zh-CN"/>
        </w:rPr>
        <w:t>合作期为</w:t>
      </w:r>
      <w:r>
        <w:rPr>
          <w:rFonts w:hint="eastAsia" w:hAnsi="仿宋_GB2312" w:cs="仿宋_GB2312"/>
          <w:color w:val="FF0000"/>
          <w:sz w:val="32"/>
          <w:szCs w:val="32"/>
          <w:highlight w:val="yellow"/>
          <w:u w:val="single"/>
          <w:lang w:val="en-US" w:eastAsia="zh-CN"/>
        </w:rPr>
        <w:t xml:space="preserve">    </w:t>
      </w:r>
      <w:r>
        <w:rPr>
          <w:rFonts w:hint="eastAsia" w:ascii="仿宋_GB2312" w:hAnsi="仿宋_GB2312" w:eastAsia="仿宋_GB2312" w:cs="仿宋_GB2312"/>
          <w:color w:val="FF0000"/>
          <w:sz w:val="32"/>
          <w:szCs w:val="32"/>
          <w:highlight w:val="yellow"/>
          <w:lang w:val="en-US" w:eastAsia="zh-CN"/>
        </w:rPr>
        <w:t>年</w:t>
      </w:r>
      <w:r>
        <w:rPr>
          <w:rFonts w:hint="eastAsia" w:hAnsi="仿宋_GB2312" w:cs="仿宋_GB2312"/>
          <w:color w:val="FF0000"/>
          <w:sz w:val="32"/>
          <w:szCs w:val="32"/>
          <w:highlight w:val="yellow"/>
          <w:u w:val="single"/>
          <w:lang w:val="en-US" w:eastAsia="zh-CN"/>
        </w:rPr>
        <w:t xml:space="preserve">   </w:t>
      </w:r>
      <w:r>
        <w:rPr>
          <w:rFonts w:hint="eastAsia" w:ascii="仿宋_GB2312" w:hAnsi="仿宋_GB2312" w:eastAsia="仿宋_GB2312" w:cs="仿宋_GB2312"/>
          <w:color w:val="FF0000"/>
          <w:sz w:val="32"/>
          <w:szCs w:val="32"/>
          <w:highlight w:val="yellow"/>
          <w:lang w:val="en-US" w:eastAsia="zh-CN"/>
        </w:rPr>
        <w:t>月</w:t>
      </w:r>
      <w:r>
        <w:rPr>
          <w:rFonts w:hint="eastAsia" w:hAnsi="仿宋_GB2312" w:cs="仿宋_GB2312"/>
          <w:color w:val="FF0000"/>
          <w:sz w:val="32"/>
          <w:szCs w:val="32"/>
          <w:highlight w:val="yellow"/>
          <w:u w:val="single"/>
          <w:lang w:val="en-US" w:eastAsia="zh-CN"/>
        </w:rPr>
        <w:t xml:space="preserve">   </w:t>
      </w:r>
      <w:r>
        <w:rPr>
          <w:rFonts w:hint="eastAsia" w:ascii="仿宋_GB2312" w:hAnsi="仿宋_GB2312" w:eastAsia="仿宋_GB2312" w:cs="仿宋_GB2312"/>
          <w:color w:val="FF0000"/>
          <w:sz w:val="32"/>
          <w:szCs w:val="32"/>
          <w:highlight w:val="yellow"/>
          <w:lang w:val="en-US" w:eastAsia="zh-CN"/>
        </w:rPr>
        <w:t>日至</w:t>
      </w:r>
      <w:r>
        <w:rPr>
          <w:rFonts w:hint="eastAsia" w:hAnsi="仿宋_GB2312" w:cs="仿宋_GB2312"/>
          <w:color w:val="FF0000"/>
          <w:sz w:val="32"/>
          <w:szCs w:val="32"/>
          <w:highlight w:val="yellow"/>
          <w:u w:val="single"/>
          <w:lang w:val="en-US" w:eastAsia="zh-CN"/>
        </w:rPr>
        <w:t xml:space="preserve">    </w:t>
      </w:r>
      <w:r>
        <w:rPr>
          <w:rFonts w:hint="eastAsia" w:ascii="仿宋_GB2312" w:hAnsi="仿宋_GB2312" w:eastAsia="仿宋_GB2312" w:cs="仿宋_GB2312"/>
          <w:color w:val="FF0000"/>
          <w:sz w:val="32"/>
          <w:szCs w:val="32"/>
          <w:highlight w:val="yellow"/>
          <w:lang w:val="en-US" w:eastAsia="zh-CN"/>
        </w:rPr>
        <w:t>年</w:t>
      </w:r>
      <w:r>
        <w:rPr>
          <w:rFonts w:hint="eastAsia" w:hAnsi="仿宋_GB2312" w:cs="仿宋_GB2312"/>
          <w:color w:val="FF0000"/>
          <w:sz w:val="32"/>
          <w:szCs w:val="32"/>
          <w:highlight w:val="yellow"/>
          <w:lang w:val="en-US" w:eastAsia="zh-CN"/>
        </w:rPr>
        <w:t xml:space="preserve"> </w:t>
      </w:r>
      <w:r>
        <w:rPr>
          <w:rFonts w:hint="eastAsia" w:ascii="仿宋_GB2312" w:hAnsi="仿宋_GB2312" w:eastAsia="仿宋_GB2312" w:cs="仿宋_GB2312"/>
          <w:color w:val="FF0000"/>
          <w:sz w:val="32"/>
          <w:szCs w:val="32"/>
          <w:highlight w:val="yellow"/>
          <w:lang w:val="en-US" w:eastAsia="zh-CN"/>
        </w:rPr>
        <w:t>月</w:t>
      </w:r>
      <w:r>
        <w:rPr>
          <w:rFonts w:hint="eastAsia" w:hAnsi="仿宋_GB2312" w:cs="仿宋_GB2312"/>
          <w:color w:val="FF0000"/>
          <w:sz w:val="32"/>
          <w:szCs w:val="32"/>
          <w:highlight w:val="yellow"/>
          <w:u w:val="single"/>
          <w:lang w:val="en-US" w:eastAsia="zh-CN"/>
        </w:rPr>
        <w:t xml:space="preserve">     </w:t>
      </w:r>
      <w:r>
        <w:rPr>
          <w:rFonts w:hint="eastAsia" w:ascii="仿宋_GB2312" w:hAnsi="仿宋_GB2312" w:eastAsia="仿宋_GB2312" w:cs="仿宋_GB2312"/>
          <w:color w:val="FF0000"/>
          <w:sz w:val="32"/>
          <w:szCs w:val="32"/>
          <w:highlight w:val="yellow"/>
          <w:lang w:val="en-US" w:eastAsia="zh-CN"/>
        </w:rPr>
        <w:t>日。合同到期后，</w:t>
      </w:r>
      <w:r>
        <w:rPr>
          <w:rFonts w:hint="eastAsia" w:hAnsi="仿宋_GB2312" w:cs="仿宋_GB2312"/>
          <w:color w:val="FF0000"/>
          <w:sz w:val="32"/>
          <w:szCs w:val="32"/>
          <w:highlight w:val="yellow"/>
          <w:lang w:val="en-US" w:eastAsia="zh-CN"/>
        </w:rPr>
        <w:t>同等条件下，</w:t>
      </w:r>
      <w:r>
        <w:rPr>
          <w:rFonts w:hint="eastAsia" w:ascii="仿宋_GB2312" w:hAnsi="仿宋_GB2312" w:eastAsia="仿宋_GB2312" w:cs="仿宋_GB2312"/>
          <w:color w:val="FF0000"/>
          <w:sz w:val="32"/>
          <w:szCs w:val="32"/>
          <w:highlight w:val="yellow"/>
          <w:lang w:val="en-US" w:eastAsia="zh-CN"/>
        </w:rPr>
        <w:t>乙方有优先续签权</w:t>
      </w:r>
      <w:r>
        <w:rPr>
          <w:rFonts w:hint="eastAsia" w:ascii="仿宋_GB2312" w:hAnsi="仿宋_GB2312" w:eastAsia="仿宋_GB2312" w:cs="仿宋_GB2312"/>
          <w:color w:val="FF0000"/>
          <w:sz w:val="32"/>
          <w:szCs w:val="32"/>
          <w:highlight w:val="yellow"/>
        </w:rPr>
        <w:t>。</w:t>
      </w:r>
    </w:p>
    <w:p w14:paraId="3E586FB7">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甲方应于本合同签订后5日内将该大棚交付乙方；</w:t>
      </w:r>
    </w:p>
    <w:p w14:paraId="080D8FC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本合同承包期限届满前，乙方应提前一个月告知甲方是否续包；同等条件下乙方享有优先继续承包的权利。</w:t>
      </w:r>
    </w:p>
    <w:p w14:paraId="4D026C0F">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乙方不继续承包大棚的，应当于本合同承包期限届满之日起</w:t>
      </w:r>
      <w:r>
        <w:rPr>
          <w:rFonts w:hint="eastAsia" w:hAnsi="仿宋_GB2312" w:cs="仿宋_GB2312"/>
          <w:sz w:val="32"/>
          <w:szCs w:val="32"/>
          <w:u w:val="single"/>
          <w:lang w:val="en-US" w:eastAsia="zh-CN"/>
        </w:rPr>
        <w:t>7</w:t>
      </w:r>
      <w:r>
        <w:rPr>
          <w:rFonts w:hint="eastAsia" w:ascii="仿宋_GB2312" w:hAnsi="仿宋_GB2312" w:eastAsia="仿宋_GB2312" w:cs="仿宋_GB2312"/>
          <w:sz w:val="32"/>
          <w:szCs w:val="32"/>
        </w:rPr>
        <w:t>日内将大棚交还甲方；乙方承包期间增建的地上附着物及相关设备设施按下列方式处理：</w:t>
      </w:r>
    </w:p>
    <w:p w14:paraId="79C572AA">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rPr>
        <w:t>属于乙方承包前原有设备设施更新维修的，该更换新设备设施归属于甲方所有 ；</w:t>
      </w:r>
    </w:p>
    <w:p w14:paraId="1AD7729F">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rPr>
        <w:t>属于承包前没有、完全由乙方在承包期内新建或新购置的，归属于乙方所有，或者按照双方商定价格转让给甲方</w:t>
      </w:r>
      <w:r>
        <w:rPr>
          <w:rFonts w:hint="eastAsia" w:ascii="仿宋_GB2312" w:hAnsi="仿宋_GB2312" w:eastAsia="仿宋_GB2312" w:cs="仿宋_GB2312"/>
          <w:sz w:val="32"/>
          <w:szCs w:val="32"/>
          <w:lang w:eastAsia="zh-CN"/>
        </w:rPr>
        <w:t>，或者乙方自行处理。</w:t>
      </w:r>
    </w:p>
    <w:p w14:paraId="4313317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第三条  </w:t>
      </w:r>
      <w:r>
        <w:rPr>
          <w:rFonts w:hint="eastAsia" w:ascii="仿宋_GB2312" w:hAnsi="仿宋_GB2312" w:eastAsia="仿宋_GB2312" w:cs="仿宋_GB2312"/>
          <w:b/>
          <w:bCs/>
          <w:sz w:val="32"/>
          <w:szCs w:val="32"/>
          <w:lang w:eastAsia="zh-CN"/>
        </w:rPr>
        <w:t>租金</w:t>
      </w:r>
      <w:r>
        <w:rPr>
          <w:rFonts w:hint="eastAsia" w:ascii="仿宋_GB2312" w:hAnsi="仿宋_GB2312" w:eastAsia="仿宋_GB2312" w:cs="仿宋_GB2312"/>
          <w:b/>
          <w:bCs/>
          <w:sz w:val="32"/>
          <w:szCs w:val="32"/>
        </w:rPr>
        <w:t>用</w:t>
      </w:r>
      <w:r>
        <w:rPr>
          <w:rFonts w:hint="eastAsia" w:ascii="仿宋_GB2312" w:hAnsi="仿宋_GB2312" w:eastAsia="仿宋_GB2312" w:cs="仿宋_GB2312"/>
          <w:b/>
          <w:bCs/>
          <w:sz w:val="32"/>
          <w:szCs w:val="32"/>
          <w:lang w:eastAsia="zh-CN"/>
        </w:rPr>
        <w:t>、分红</w:t>
      </w:r>
      <w:r>
        <w:rPr>
          <w:rFonts w:hint="eastAsia" w:ascii="仿宋_GB2312" w:hAnsi="仿宋_GB2312" w:eastAsia="仿宋_GB2312" w:cs="仿宋_GB2312"/>
          <w:b/>
          <w:bCs/>
          <w:sz w:val="32"/>
          <w:szCs w:val="32"/>
        </w:rPr>
        <w:t>与支付方式</w:t>
      </w:r>
    </w:p>
    <w:p w14:paraId="2C13D300">
      <w:pPr>
        <w:keepNext w:val="0"/>
        <w:keepLines w:val="0"/>
        <w:pageBreakBefore w:val="0"/>
        <w:widowControl w:val="0"/>
        <w:numPr>
          <w:ilvl w:val="0"/>
          <w:numId w:val="0"/>
        </w:numPr>
        <w:kinsoku/>
        <w:wordWrap w:val="0"/>
        <w:overflowPunct/>
        <w:topLinePunct w:val="0"/>
        <w:autoSpaceDE/>
        <w:autoSpaceDN/>
        <w:bidi w:val="0"/>
        <w:adjustRightInd w:val="0"/>
        <w:snapToGrid w:val="0"/>
        <w:spacing w:after="0"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乙方需在协议签订起3</w:t>
      </w:r>
      <w:r>
        <w:rPr>
          <w:rFonts w:hint="eastAsia" w:hAnsi="仿宋_GB2312" w:cs="仿宋_GB2312"/>
          <w:sz w:val="32"/>
          <w:szCs w:val="32"/>
          <w:lang w:val="en-US" w:eastAsia="zh-CN"/>
        </w:rPr>
        <w:t>-5</w:t>
      </w:r>
      <w:r>
        <w:rPr>
          <w:rFonts w:hint="eastAsia" w:ascii="仿宋_GB2312" w:hAnsi="仿宋_GB2312" w:eastAsia="仿宋_GB2312" w:cs="仿宋_GB2312"/>
          <w:sz w:val="32"/>
          <w:szCs w:val="32"/>
          <w:lang w:val="en-US" w:eastAsia="zh-CN"/>
        </w:rPr>
        <w:t>日内，向甲方支付￥</w:t>
      </w:r>
      <w:r>
        <w:rPr>
          <w:rFonts w:hint="eastAsia" w:hAnsi="仿宋_GB2312" w:cs="仿宋_GB2312"/>
          <w:sz w:val="32"/>
          <w:szCs w:val="32"/>
          <w:lang w:val="en-US" w:eastAsia="zh-CN"/>
        </w:rPr>
        <w:t>2</w:t>
      </w:r>
      <w:r>
        <w:rPr>
          <w:rFonts w:hint="eastAsia" w:ascii="仿宋_GB2312" w:hAnsi="仿宋_GB2312" w:eastAsia="仿宋_GB2312" w:cs="仿宋_GB2312"/>
          <w:sz w:val="32"/>
          <w:szCs w:val="32"/>
          <w:lang w:val="en-US" w:eastAsia="zh-CN"/>
        </w:rPr>
        <w:t>0000（大写：</w:t>
      </w:r>
      <w:r>
        <w:rPr>
          <w:rFonts w:hint="eastAsia" w:hAnsi="仿宋_GB2312" w:cs="仿宋_GB2312"/>
          <w:sz w:val="32"/>
          <w:szCs w:val="32"/>
          <w:lang w:val="en-US" w:eastAsia="zh-CN"/>
        </w:rPr>
        <w:t>贰</w:t>
      </w:r>
      <w:r>
        <w:rPr>
          <w:rFonts w:hint="eastAsia" w:ascii="仿宋_GB2312" w:hAnsi="仿宋_GB2312" w:eastAsia="仿宋_GB2312" w:cs="仿宋_GB2312"/>
          <w:sz w:val="32"/>
          <w:szCs w:val="32"/>
          <w:lang w:val="en-US" w:eastAsia="zh-CN"/>
        </w:rPr>
        <w:t>万元整）作为承包保证金。</w:t>
      </w:r>
    </w:p>
    <w:p w14:paraId="1D3F6983">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hAnsi="仿宋_GB2312" w:cs="仿宋_GB2312"/>
          <w:sz w:val="32"/>
          <w:szCs w:val="32"/>
          <w:lang w:val="en-US" w:eastAsia="zh-CN"/>
        </w:rPr>
        <w:t>.</w:t>
      </w:r>
      <w:r>
        <w:rPr>
          <w:rFonts w:hint="eastAsia" w:ascii="仿宋_GB2312" w:hAnsi="仿宋_GB2312" w:eastAsia="仿宋_GB2312" w:cs="仿宋_GB2312"/>
          <w:sz w:val="32"/>
          <w:szCs w:val="32"/>
          <w:lang w:val="en-US" w:eastAsia="zh-CN"/>
        </w:rPr>
        <w:t>乙方承包的</w:t>
      </w:r>
      <w:r>
        <w:rPr>
          <w:rFonts w:hint="eastAsia" w:hAnsi="仿宋_GB2312" w:cs="仿宋_GB2312"/>
          <w:sz w:val="32"/>
          <w:szCs w:val="32"/>
          <w:lang w:val="en-US" w:eastAsia="zh-CN"/>
        </w:rPr>
        <w:t>28.79</w:t>
      </w:r>
      <w:r>
        <w:rPr>
          <w:rFonts w:hint="eastAsia" w:ascii="仿宋_GB2312" w:hAnsi="仿宋_GB2312" w:eastAsia="仿宋_GB2312" w:cs="仿宋_GB2312"/>
          <w:sz w:val="32"/>
          <w:szCs w:val="32"/>
          <w:lang w:val="en-US" w:eastAsia="zh-CN"/>
        </w:rPr>
        <w:t>亩</w:t>
      </w:r>
      <w:r>
        <w:rPr>
          <w:rFonts w:hint="eastAsia" w:hAnsi="仿宋_GB2312" w:cs="仿宋_GB2312"/>
          <w:sz w:val="32"/>
          <w:szCs w:val="32"/>
          <w:lang w:val="en-US" w:eastAsia="zh-CN"/>
        </w:rPr>
        <w:t>种植</w:t>
      </w:r>
      <w:r>
        <w:rPr>
          <w:rFonts w:hint="eastAsia" w:ascii="仿宋_GB2312" w:hAnsi="仿宋_GB2312" w:eastAsia="仿宋_GB2312" w:cs="仿宋_GB2312"/>
          <w:sz w:val="32"/>
          <w:szCs w:val="32"/>
          <w:lang w:val="en-US" w:eastAsia="zh-CN"/>
        </w:rPr>
        <w:t>棚，统筹利用如下：</w:t>
      </w:r>
    </w:p>
    <w:p w14:paraId="548E9369">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（1）种植棚</w:t>
      </w:r>
      <w:r>
        <w:rPr>
          <w:rFonts w:hint="eastAsia" w:hAnsi="仿宋_GB2312" w:cs="仿宋_GB2312"/>
          <w:sz w:val="32"/>
          <w:szCs w:val="32"/>
          <w:lang w:val="en-US" w:eastAsia="zh-CN"/>
        </w:rPr>
        <w:t>28.79</w:t>
      </w:r>
      <w:r>
        <w:rPr>
          <w:rFonts w:hint="eastAsia" w:ascii="仿宋_GB2312" w:hAnsi="仿宋_GB2312" w:eastAsia="仿宋_GB2312" w:cs="仿宋_GB2312"/>
          <w:sz w:val="32"/>
          <w:szCs w:val="32"/>
          <w:lang w:val="en-US" w:eastAsia="zh-CN"/>
        </w:rPr>
        <w:t>亩（</w:t>
      </w:r>
      <w:r>
        <w:rPr>
          <w:rFonts w:hint="eastAsia" w:hAnsi="仿宋_GB2312" w:cs="仿宋_GB2312"/>
          <w:sz w:val="32"/>
          <w:szCs w:val="32"/>
          <w:lang w:val="en-US" w:eastAsia="zh-CN"/>
        </w:rPr>
        <w:t>1</w:t>
      </w:r>
      <w:r>
        <w:rPr>
          <w:rFonts w:hint="eastAsia" w:ascii="仿宋_GB2312" w:hAnsi="仿宋_GB2312" w:eastAsia="仿宋_GB2312" w:cs="仿宋_GB2312"/>
          <w:sz w:val="32"/>
          <w:szCs w:val="32"/>
          <w:lang w:val="en-US" w:eastAsia="zh-CN"/>
        </w:rPr>
        <w:t>5#，</w:t>
      </w:r>
      <w:r>
        <w:rPr>
          <w:rFonts w:hint="eastAsia" w:hAnsi="仿宋_GB2312" w:cs="仿宋_GB2312"/>
          <w:sz w:val="32"/>
          <w:szCs w:val="32"/>
          <w:lang w:val="en-US" w:eastAsia="zh-CN"/>
        </w:rPr>
        <w:t>16</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17</w:t>
      </w:r>
      <w:r>
        <w:rPr>
          <w:rFonts w:hint="eastAsia" w:ascii="仿宋_GB2312" w:hAnsi="仿宋_GB2312" w:eastAsia="仿宋_GB2312" w:cs="仿宋_GB2312"/>
          <w:sz w:val="32"/>
          <w:szCs w:val="32"/>
          <w:lang w:val="en-US" w:eastAsia="zh-CN"/>
        </w:rPr>
        <w:t>#）由乙方种植蔬菜；</w:t>
      </w:r>
    </w:p>
    <w:p w14:paraId="5FCB3C21">
      <w:pPr>
        <w:pStyle w:val="7"/>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（2）种植品种：黄瓜</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茄子</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豇豆</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西葫瓜</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空心菜</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苦瓜、丝瓜；</w:t>
      </w:r>
    </w:p>
    <w:p w14:paraId="26BBD5B7">
      <w:pPr>
        <w:keepNext w:val="0"/>
        <w:keepLines w:val="0"/>
        <w:pageBreakBefore w:val="0"/>
        <w:widowControl w:val="0"/>
        <w:numPr>
          <w:ilvl w:val="0"/>
          <w:numId w:val="0"/>
        </w:numPr>
        <w:kinsoku/>
        <w:wordWrap w:val="0"/>
        <w:overflowPunct/>
        <w:topLinePunct w:val="0"/>
        <w:autoSpaceDE/>
        <w:autoSpaceDN/>
        <w:bidi w:val="0"/>
        <w:adjustRightInd w:val="0"/>
        <w:snapToGrid w:val="0"/>
        <w:spacing w:beforeAutospacing="0" w:after="0" w:afterAutospacing="0" w:line="520" w:lineRule="exact"/>
        <w:ind w:left="0" w:leftChars="0" w:firstLine="632" w:firstLineChars="200"/>
        <w:outlineLvl w:val="0"/>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3</w:t>
      </w:r>
      <w:r>
        <w:rPr>
          <w:rFonts w:hint="eastAsia" w:hAnsi="仿宋_GB2312" w:cs="仿宋_GB2312"/>
          <w:kern w:val="2"/>
          <w:sz w:val="32"/>
          <w:szCs w:val="32"/>
          <w:lang w:val="en-US" w:eastAsia="zh-CN" w:bidi="ar-SA"/>
        </w:rPr>
        <w:t>.种植棚</w:t>
      </w:r>
      <w:r>
        <w:rPr>
          <w:rFonts w:hint="eastAsia" w:ascii="仿宋_GB2312" w:hAnsi="仿宋_GB2312" w:eastAsia="仿宋_GB2312" w:cs="仿宋_GB2312"/>
          <w:kern w:val="2"/>
          <w:sz w:val="32"/>
          <w:szCs w:val="32"/>
          <w:lang w:val="en-US" w:eastAsia="zh-CN" w:bidi="ar-SA"/>
        </w:rPr>
        <w:t>租金计算方式及支付</w:t>
      </w:r>
    </w:p>
    <w:p w14:paraId="12E23FE4">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（1）乙方根据合同约定的蔬菜品种，在其承包的大棚内种植蔬菜，需按照黄瓜0.2元/斤</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茄子0.2元/斤</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豇豆0.3元/斤</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西葫瓜0.2元/斤</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空心菜0.2元/斤</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sz w:val="32"/>
          <w:szCs w:val="32"/>
          <w:lang w:val="en-US" w:eastAsia="zh-CN"/>
        </w:rPr>
        <w:t>苦瓜0.2元/斤</w:t>
      </w:r>
      <w:r>
        <w:rPr>
          <w:rFonts w:hint="eastAsia" w:hAnsi="仿宋_GB2312" w:cs="仿宋_GB2312"/>
          <w:sz w:val="32"/>
          <w:szCs w:val="32"/>
          <w:lang w:val="en-US" w:eastAsia="zh-CN"/>
        </w:rPr>
        <w:t>、丝瓜0.3元</w:t>
      </w:r>
      <w:r>
        <w:rPr>
          <w:rFonts w:hint="eastAsia" w:ascii="仿宋_GB2312" w:hAnsi="仿宋_GB2312" w:eastAsia="仿宋_GB2312" w:cs="仿宋_GB2312"/>
          <w:sz w:val="32"/>
          <w:szCs w:val="32"/>
          <w:lang w:val="en-US" w:eastAsia="zh-CN"/>
        </w:rPr>
        <w:t>/斤的单价向甲方支付分红，具体斤数以生产斤数为准，甲方每日负责监督称重斤数和统计。</w:t>
      </w:r>
    </w:p>
    <w:p w14:paraId="2AA2E102">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（2）乙方根据合同约定的蔬菜品种，在其承包的大棚内种植蔬菜，按3</w:t>
      </w:r>
      <w:r>
        <w:rPr>
          <w:rFonts w:hint="eastAsia" w:hAnsi="仿宋_GB2312" w:cs="仿宋_GB2312"/>
          <w:sz w:val="32"/>
          <w:szCs w:val="32"/>
          <w:lang w:val="en-US" w:eastAsia="zh-CN"/>
        </w:rPr>
        <w:t>500</w:t>
      </w:r>
      <w:r>
        <w:rPr>
          <w:rFonts w:hint="eastAsia" w:ascii="仿宋_GB2312" w:hAnsi="仿宋_GB2312" w:eastAsia="仿宋_GB2312" w:cs="仿宋_GB2312"/>
          <w:sz w:val="32"/>
          <w:szCs w:val="32"/>
          <w:lang w:val="en-US" w:eastAsia="zh-CN"/>
        </w:rPr>
        <w:t>元/亩/年进行计算租金，总租地</w:t>
      </w:r>
      <w:r>
        <w:rPr>
          <w:rFonts w:hint="eastAsia" w:hAnsi="仿宋_GB2312" w:cs="仿宋_GB2312"/>
          <w:sz w:val="32"/>
          <w:szCs w:val="32"/>
          <w:lang w:val="en-US" w:eastAsia="zh-CN"/>
        </w:rPr>
        <w:t>28.79</w:t>
      </w:r>
      <w:r>
        <w:rPr>
          <w:rFonts w:hint="eastAsia" w:ascii="仿宋_GB2312" w:hAnsi="仿宋_GB2312" w:eastAsia="仿宋_GB2312" w:cs="仿宋_GB2312"/>
          <w:sz w:val="32"/>
          <w:szCs w:val="32"/>
          <w:lang w:val="en-US" w:eastAsia="zh-CN"/>
        </w:rPr>
        <w:t>亩，合计年租金</w:t>
      </w:r>
      <w:r>
        <w:rPr>
          <w:rFonts w:hint="eastAsia" w:hAnsi="仿宋_GB2312" w:cs="仿宋_GB2312"/>
          <w:sz w:val="32"/>
          <w:szCs w:val="32"/>
          <w:lang w:val="en-US" w:eastAsia="zh-CN"/>
        </w:rPr>
        <w:t>为</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100765</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壹拾万零柒佰陆拾伍元整</w:t>
      </w:r>
      <w:r>
        <w:rPr>
          <w:rFonts w:hint="eastAsia" w:ascii="仿宋_GB2312" w:hAnsi="仿宋_GB2312" w:eastAsia="仿宋_GB2312" w:cs="仿宋_GB2312"/>
          <w:sz w:val="32"/>
          <w:szCs w:val="32"/>
          <w:lang w:val="en-US" w:eastAsia="zh-CN"/>
        </w:rPr>
        <w:t>）向甲方支付。</w:t>
      </w:r>
    </w:p>
    <w:p w14:paraId="62AD2A70">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（3）如在一年周期满时（1）中的全年分红总金额高于（2）时采用（1）租金计算；如在一年周期满时（1）全年总分红低于（2）租金，则以（2）租金（￥</w:t>
      </w:r>
      <w:r>
        <w:rPr>
          <w:rFonts w:hint="eastAsia" w:hAnsi="仿宋_GB2312" w:cs="仿宋_GB2312"/>
          <w:sz w:val="32"/>
          <w:szCs w:val="32"/>
          <w:lang w:val="en-US" w:eastAsia="zh-CN"/>
        </w:rPr>
        <w:t>100765</w:t>
      </w:r>
      <w:r>
        <w:rPr>
          <w:rFonts w:hint="eastAsia" w:ascii="仿宋_GB2312" w:hAnsi="仿宋_GB2312" w:eastAsia="仿宋_GB2312" w:cs="仿宋_GB2312"/>
          <w:sz w:val="32"/>
          <w:szCs w:val="32"/>
          <w:lang w:val="en-US" w:eastAsia="zh-CN"/>
        </w:rPr>
        <w:t>）计算，不足的金额须在5日内</w:t>
      </w:r>
      <w:r>
        <w:rPr>
          <w:rFonts w:hint="eastAsia" w:hAnsi="仿宋_GB2312" w:cs="仿宋_GB2312"/>
          <w:sz w:val="32"/>
          <w:szCs w:val="32"/>
          <w:lang w:val="en-US" w:eastAsia="zh-CN"/>
        </w:rPr>
        <w:t>补足</w:t>
      </w:r>
      <w:r>
        <w:rPr>
          <w:rFonts w:hint="eastAsia" w:ascii="仿宋_GB2312" w:hAnsi="仿宋_GB2312" w:eastAsia="仿宋_GB2312" w:cs="仿宋_GB2312"/>
          <w:sz w:val="32"/>
          <w:szCs w:val="32"/>
          <w:lang w:val="en-US" w:eastAsia="zh-CN"/>
        </w:rPr>
        <w:t>部分。</w:t>
      </w:r>
    </w:p>
    <w:p w14:paraId="4ABBDF9F">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hAnsi="仿宋_GB2312" w:cs="仿宋_GB2312"/>
          <w:sz w:val="32"/>
          <w:szCs w:val="32"/>
          <w:lang w:val="en-US" w:eastAsia="zh-CN"/>
        </w:rPr>
        <w:t>.种植棚</w:t>
      </w:r>
      <w:r>
        <w:rPr>
          <w:rFonts w:hint="eastAsia" w:ascii="仿宋_GB2312" w:hAnsi="仿宋_GB2312" w:eastAsia="仿宋_GB2312" w:cs="仿宋_GB2312"/>
          <w:sz w:val="32"/>
          <w:szCs w:val="32"/>
          <w:lang w:val="en-US" w:eastAsia="zh-CN"/>
        </w:rPr>
        <w:t>支付方式</w:t>
      </w:r>
      <w:r>
        <w:rPr>
          <w:rFonts w:hint="eastAsia" w:ascii="仿宋_GB2312" w:hAnsi="仿宋_GB2312" w:eastAsia="仿宋_GB2312" w:cs="仿宋_GB2312"/>
          <w:sz w:val="32"/>
          <w:szCs w:val="32"/>
        </w:rPr>
        <w:t>：</w:t>
      </w:r>
    </w:p>
    <w:p w14:paraId="709200F3">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hAnsi="仿宋_GB2312" w:cs="仿宋_GB2312"/>
          <w:sz w:val="32"/>
          <w:szCs w:val="32"/>
          <w:lang w:val="en-US" w:eastAsia="zh-CN"/>
        </w:rPr>
        <w:t>种植棚</w:t>
      </w:r>
      <w:r>
        <w:rPr>
          <w:rFonts w:hint="eastAsia" w:ascii="仿宋_GB2312" w:hAnsi="仿宋_GB2312" w:eastAsia="仿宋_GB2312" w:cs="仿宋_GB2312"/>
          <w:sz w:val="32"/>
          <w:szCs w:val="32"/>
          <w:lang w:val="en-US" w:eastAsia="zh-CN"/>
        </w:rPr>
        <w:t>分红为每月</w:t>
      </w:r>
      <w:r>
        <w:rPr>
          <w:rFonts w:hint="eastAsia" w:ascii="仿宋_GB2312" w:hAnsi="仿宋_GB2312" w:eastAsia="仿宋_GB2312" w:cs="仿宋_GB2312"/>
          <w:sz w:val="32"/>
          <w:szCs w:val="32"/>
        </w:rPr>
        <w:t>付款：即乙方应当于本合同签订</w:t>
      </w:r>
      <w:r>
        <w:rPr>
          <w:rFonts w:hint="eastAsia" w:ascii="仿宋_GB2312" w:hAnsi="仿宋_GB2312" w:eastAsia="仿宋_GB2312" w:cs="仿宋_GB2312"/>
          <w:sz w:val="32"/>
          <w:szCs w:val="32"/>
          <w:lang w:val="en-US" w:eastAsia="zh-CN"/>
        </w:rPr>
        <w:t>后每月</w:t>
      </w:r>
      <w:r>
        <w:rPr>
          <w:rFonts w:hint="eastAsia" w:hAnsi="仿宋_GB2312" w:cs="仿宋_GB2312"/>
          <w:sz w:val="32"/>
          <w:szCs w:val="32"/>
          <w:u w:val="single"/>
          <w:lang w:val="en-US" w:eastAsia="zh-CN"/>
        </w:rPr>
        <w:t>10</w:t>
      </w:r>
      <w:r>
        <w:rPr>
          <w:rFonts w:hint="eastAsia" w:ascii="仿宋_GB2312" w:hAnsi="仿宋_GB2312" w:eastAsia="仿宋_GB2312" w:cs="仿宋_GB2312"/>
          <w:sz w:val="32"/>
          <w:szCs w:val="32"/>
          <w:lang w:val="en-US" w:eastAsia="zh-CN"/>
        </w:rPr>
        <w:t>号前支付上月分红</w:t>
      </w:r>
      <w:r>
        <w:rPr>
          <w:rFonts w:hint="eastAsia" w:ascii="仿宋_GB2312" w:hAnsi="仿宋_GB2312" w:eastAsia="仿宋_GB2312" w:cs="仿宋_GB2312"/>
          <w:sz w:val="32"/>
          <w:szCs w:val="32"/>
          <w:u w:val="none"/>
          <w:lang w:val="en-US" w:eastAsia="zh-CN"/>
        </w:rPr>
        <w:t>，</w:t>
      </w:r>
      <w:r>
        <w:rPr>
          <w:rFonts w:hint="eastAsia" w:ascii="仿宋_GB2312" w:hAnsi="仿宋_GB2312" w:eastAsia="仿宋_GB2312" w:cs="仿宋_GB2312"/>
          <w:sz w:val="32"/>
          <w:szCs w:val="32"/>
          <w:lang w:val="en-US" w:eastAsia="zh-CN"/>
        </w:rPr>
        <w:t>一年周期满时，若乙方总支付分红小于￥</w:t>
      </w:r>
      <w:r>
        <w:rPr>
          <w:rFonts w:hint="eastAsia" w:hAnsi="仿宋_GB2312" w:cs="仿宋_GB2312"/>
          <w:sz w:val="32"/>
          <w:szCs w:val="32"/>
          <w:lang w:val="en-US" w:eastAsia="zh-CN"/>
        </w:rPr>
        <w:t>100765</w:t>
      </w:r>
      <w:r>
        <w:rPr>
          <w:rFonts w:hint="eastAsia" w:ascii="仿宋_GB2312" w:hAnsi="仿宋_GB2312" w:eastAsia="仿宋_GB2312" w:cs="仿宋_GB2312"/>
          <w:sz w:val="32"/>
          <w:szCs w:val="32"/>
          <w:lang w:val="en-US" w:eastAsia="zh-CN"/>
        </w:rPr>
        <w:t>，则需在5日内补足金额缺少部分的相应分红</w:t>
      </w:r>
      <w:r>
        <w:rPr>
          <w:rFonts w:hint="eastAsia" w:ascii="仿宋_GB2312" w:hAnsi="仿宋_GB2312" w:eastAsia="仿宋_GB2312" w:cs="仿宋_GB2312"/>
          <w:sz w:val="32"/>
          <w:szCs w:val="32"/>
        </w:rPr>
        <w:t>；</w:t>
      </w:r>
    </w:p>
    <w:p w14:paraId="157C7531">
      <w:pPr>
        <w:pStyle w:val="2"/>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（2）租金收款账户信息：</w:t>
      </w:r>
    </w:p>
    <w:p w14:paraId="6FF8ACC4">
      <w:pPr>
        <w:pStyle w:val="5"/>
        <w:keepNext w:val="0"/>
        <w:keepLines w:val="0"/>
        <w:pageBreakBefore w:val="0"/>
        <w:kinsoku/>
        <w:overflowPunct/>
        <w:topLinePunct w:val="0"/>
        <w:autoSpaceDE/>
        <w:autoSpaceDN/>
        <w:bidi w:val="0"/>
        <w:spacing w:line="520" w:lineRule="exact"/>
        <w:ind w:left="632" w:leftChars="200" w:firstLine="0" w:firstLineChars="0"/>
        <w:rPr>
          <w:rFonts w:hint="default"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账户名称：定安县菜篮子产业服务有限公司</w:t>
      </w:r>
    </w:p>
    <w:p w14:paraId="740F1B4E">
      <w:pPr>
        <w:pStyle w:val="5"/>
        <w:keepNext w:val="0"/>
        <w:keepLines w:val="0"/>
        <w:pageBreakBefore w:val="0"/>
        <w:kinsoku/>
        <w:overflowPunct/>
        <w:topLinePunct w:val="0"/>
        <w:autoSpaceDE/>
        <w:autoSpaceDN/>
        <w:bidi w:val="0"/>
        <w:spacing w:line="520" w:lineRule="exact"/>
        <w:ind w:left="632" w:leftChars="200" w:firstLine="0" w:firstLineChars="0"/>
        <w:rPr>
          <w:rFonts w:hint="eastAsia" w:ascii="仿宋_GB2312" w:hAnsi="仿宋_GB2312" w:eastAsia="仿宋_GB2312" w:cs="仿宋_GB2312"/>
          <w:kern w:val="2"/>
          <w:sz w:val="32"/>
          <w:szCs w:val="32"/>
          <w:lang w:val="en-US" w:eastAsia="zh-CN" w:bidi="ar-SA"/>
        </w:rPr>
      </w:pPr>
    </w:p>
    <w:p w14:paraId="5D0AFAD0">
      <w:pPr>
        <w:pStyle w:val="5"/>
        <w:keepNext w:val="0"/>
        <w:keepLines w:val="0"/>
        <w:pageBreakBefore w:val="0"/>
        <w:kinsoku/>
        <w:overflowPunct/>
        <w:topLinePunct w:val="0"/>
        <w:autoSpaceDE/>
        <w:autoSpaceDN/>
        <w:bidi w:val="0"/>
        <w:spacing w:line="520" w:lineRule="exact"/>
        <w:ind w:firstLine="632" w:firstLineChars="200"/>
        <w:rPr>
          <w:rFonts w:hint="default"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开 户 行：海南银行股份有限公司定安支行</w:t>
      </w:r>
    </w:p>
    <w:p w14:paraId="472E9C53">
      <w:pPr>
        <w:pStyle w:val="5"/>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p>
    <w:p w14:paraId="2D08B356">
      <w:pPr>
        <w:pStyle w:val="5"/>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账    号：6003628000018</w:t>
      </w:r>
    </w:p>
    <w:p w14:paraId="06C0ECB8">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第四条  </w:t>
      </w:r>
      <w:r>
        <w:rPr>
          <w:rFonts w:hint="eastAsia" w:ascii="仿宋_GB2312" w:hAnsi="仿宋_GB2312" w:eastAsia="仿宋_GB2312" w:cs="仿宋_GB2312"/>
          <w:b/>
          <w:bCs/>
          <w:sz w:val="32"/>
          <w:szCs w:val="32"/>
        </w:rPr>
        <w:t>甲方的权利义务</w:t>
      </w:r>
    </w:p>
    <w:p w14:paraId="12EAB2E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甲方有权监督乙方按合同约定依法利用和保护该大棚，制止乙方的损害行为，并在本合同到期后收回该大棚。</w:t>
      </w:r>
    </w:p>
    <w:p w14:paraId="131197B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甲方承诺该发包大棚权属合法、清晰，无任何与该大棚有关的权属纠纷和经济纠纷；如在承包期内存在权属纠纷或经济纠纷的，由甲方负责处理并承担相应责任。</w:t>
      </w:r>
    </w:p>
    <w:p w14:paraId="766F732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甲方应当协助乙方处理与其他承包户或第三方发生的用路、用水、用电、边界等纠纷。</w:t>
      </w:r>
    </w:p>
    <w:p w14:paraId="1FCAC93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甲方应当尊重乙方的生产经营自主权，不得干涉乙方依法进行正常的生产经营活动。</w:t>
      </w:r>
    </w:p>
    <w:p w14:paraId="0369DB18">
      <w:pPr>
        <w:pStyle w:val="7"/>
        <w:keepNext w:val="0"/>
        <w:keepLines w:val="0"/>
        <w:pageBreakBefore w:val="0"/>
        <w:numPr>
          <w:ilvl w:val="0"/>
          <w:numId w:val="0"/>
        </w:numPr>
        <w:kinsoku/>
        <w:overflowPunct/>
        <w:topLinePunct w:val="0"/>
        <w:autoSpaceDE/>
        <w:autoSpaceDN/>
        <w:bidi w:val="0"/>
        <w:adjustRightInd w:val="0"/>
        <w:spacing w:line="520" w:lineRule="exact"/>
        <w:ind w:left="0" w:leftChars="0" w:firstLine="632" w:firstLineChars="200"/>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5.甲方应向乙方提供一位每日统计斤数的工作人员并且核实每日售卖斤数。</w:t>
      </w:r>
    </w:p>
    <w:p w14:paraId="19750C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第五条  </w:t>
      </w:r>
      <w:r>
        <w:rPr>
          <w:rFonts w:hint="eastAsia" w:ascii="仿宋_GB2312" w:hAnsi="仿宋_GB2312" w:eastAsia="仿宋_GB2312" w:cs="仿宋_GB2312"/>
          <w:b/>
          <w:bCs/>
          <w:sz w:val="32"/>
          <w:szCs w:val="32"/>
        </w:rPr>
        <w:t>乙方的权利和义务</w:t>
      </w:r>
    </w:p>
    <w:p w14:paraId="4B47A14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1.乙方种植过程中，所产生的一切成本，包括但不限于人工费用、种子费用、肥料费用、水费、电费等，皆有乙方其独自承担。</w:t>
      </w:r>
    </w:p>
    <w:p w14:paraId="46B0FD52">
      <w:pPr>
        <w:pStyle w:val="7"/>
        <w:keepNext w:val="0"/>
        <w:keepLines w:val="0"/>
        <w:pageBreakBefore w:val="0"/>
        <w:numPr>
          <w:ilvl w:val="0"/>
          <w:numId w:val="0"/>
        </w:numPr>
        <w:kinsoku/>
        <w:overflowPunct/>
        <w:topLinePunct w:val="0"/>
        <w:autoSpaceDE/>
        <w:autoSpaceDN/>
        <w:bidi w:val="0"/>
        <w:adjustRightIn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2.乙方需对所销售的客户信息、客户类型、销售来源、业务类型等资料分门别类保存，供甲方实时查询，以保证账目清晰透明。</w:t>
      </w:r>
    </w:p>
    <w:p w14:paraId="5A7140B7">
      <w:pPr>
        <w:pStyle w:val="7"/>
        <w:keepNext w:val="0"/>
        <w:keepLines w:val="0"/>
        <w:pageBreakBefore w:val="0"/>
        <w:numPr>
          <w:ilvl w:val="0"/>
          <w:numId w:val="0"/>
        </w:numPr>
        <w:kinsoku/>
        <w:overflowPunct/>
        <w:topLinePunct w:val="0"/>
        <w:autoSpaceDE/>
        <w:autoSpaceDN/>
        <w:bidi w:val="0"/>
        <w:adjustRightIn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3.配合甲方所有财务审计、核对和监督等措施，确保收入不会被滥用或挪用。</w:t>
      </w:r>
    </w:p>
    <w:p w14:paraId="12D847CA">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乙方依法享有大棚承包经营的使用、收益权利，有权自主组织果蔬等农业生产经营</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但仅限运营、种植蔬菜相关产业</w:t>
      </w:r>
      <w:r>
        <w:rPr>
          <w:rFonts w:hint="eastAsia" w:ascii="仿宋_GB2312" w:hAnsi="仿宋_GB2312" w:eastAsia="仿宋_GB2312" w:cs="仿宋_GB2312"/>
          <w:bCs/>
          <w:sz w:val="32"/>
          <w:szCs w:val="32"/>
        </w:rPr>
        <w:t>。</w:t>
      </w:r>
    </w:p>
    <w:p w14:paraId="1ACAC05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乙方有权使用该大棚已有的开展农业生产所必需的水系、道路等设施，但应当做好上述设备设施的保养和维护工作，并自行承担大棚及相关设施的维护、保养、修缮和运行费用。</w:t>
      </w:r>
    </w:p>
    <w:p w14:paraId="287CD3A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rPr>
      </w:pPr>
      <w:r>
        <w:rPr>
          <w:rFonts w:hint="eastAsia" w:ascii="仿宋_GB2312" w:hAnsi="仿宋_GB2312" w:eastAsia="仿宋_GB2312" w:cs="仿宋_GB2312"/>
          <w:bCs/>
          <w:color w:val="auto"/>
          <w:sz w:val="32"/>
          <w:szCs w:val="32"/>
          <w:lang w:val="en-US" w:eastAsia="zh-CN"/>
        </w:rPr>
        <w:t>6.</w:t>
      </w:r>
      <w:r>
        <w:rPr>
          <w:rFonts w:hint="eastAsia" w:ascii="仿宋_GB2312" w:hAnsi="仿宋_GB2312" w:eastAsia="仿宋_GB2312" w:cs="仿宋_GB2312"/>
          <w:bCs/>
          <w:color w:val="auto"/>
          <w:sz w:val="32"/>
          <w:szCs w:val="32"/>
          <w:lang w:eastAsia="zh-CN"/>
        </w:rPr>
        <w:t>乙方应当按本合同约定及时接收该承包大棚并向甲方足额支付租金；如该大棚被依法征收，征用的，该土地上的青苗补偿费用归乙方所有，地上附属设施及设备</w:t>
      </w:r>
      <w:r>
        <w:rPr>
          <w:rFonts w:hint="eastAsia" w:ascii="仿宋_GB2312" w:hAnsi="仿宋_GB2312" w:eastAsia="仿宋_GB2312" w:cs="仿宋_GB2312"/>
          <w:bCs/>
          <w:color w:val="auto"/>
          <w:sz w:val="32"/>
          <w:szCs w:val="32"/>
          <w:lang w:val="en-US" w:eastAsia="zh-CN"/>
        </w:rPr>
        <w:t>其相应的补偿款归相应权属主体。</w:t>
      </w:r>
    </w:p>
    <w:p w14:paraId="3F06B29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乙方可根据自身生产经营需要对承包大棚进行改造、扩建或增加设施，但应征得甲方书面同意，需报有关部门批准的，按照相关规定办理。</w:t>
      </w:r>
    </w:p>
    <w:p w14:paraId="51B1562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乙方负责在法律法规政策和合同约定允许范围内保护和合理利用该大棚，不得破坏农业综合生产能力和农业生态环境，不得擅自改变生产用途、不得给大棚及附属设施造成永久性损害。</w:t>
      </w:r>
    </w:p>
    <w:p w14:paraId="6D2167D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lang w:eastAsia="zh-CN"/>
        </w:rPr>
        <w:t>乙方</w:t>
      </w:r>
      <w:r>
        <w:rPr>
          <w:rFonts w:hint="eastAsia" w:ascii="仿宋_GB2312" w:hAnsi="仿宋_GB2312" w:eastAsia="仿宋_GB2312" w:cs="仿宋_GB2312"/>
          <w:bCs/>
          <w:sz w:val="32"/>
          <w:szCs w:val="32"/>
        </w:rPr>
        <w:t>承诺严格遵守《中华人民共和国食品安全法》、《中华人民共和国农产品质量安全法》、《农药管理条例》等相关国家法律法规进行基地种植和销售；生产过程中严禁使用禁用农药，避免种植区域内农药漂移，过农药安全间隔期后进行采摘。并承诺提供给</w:t>
      </w:r>
      <w:r>
        <w:rPr>
          <w:rFonts w:hint="eastAsia" w:ascii="仿宋_GB2312" w:hAnsi="仿宋_GB2312" w:eastAsia="仿宋_GB2312" w:cs="仿宋_GB2312"/>
          <w:bCs/>
          <w:sz w:val="32"/>
          <w:szCs w:val="32"/>
          <w:lang w:eastAsia="zh-CN"/>
        </w:rPr>
        <w:t>甲方</w:t>
      </w:r>
      <w:r>
        <w:rPr>
          <w:rFonts w:hint="eastAsia" w:ascii="仿宋_GB2312" w:hAnsi="仿宋_GB2312" w:eastAsia="仿宋_GB2312" w:cs="仿宋_GB2312"/>
          <w:bCs/>
          <w:sz w:val="32"/>
          <w:szCs w:val="32"/>
        </w:rPr>
        <w:t>的果蔬</w:t>
      </w:r>
      <w:r>
        <w:rPr>
          <w:rFonts w:hint="eastAsia" w:ascii="仿宋_GB2312" w:hAnsi="仿宋_GB2312" w:eastAsia="仿宋_GB2312" w:cs="仿宋_GB2312"/>
          <w:bCs/>
          <w:sz w:val="32"/>
          <w:szCs w:val="32"/>
          <w:lang w:eastAsia="zh-CN"/>
        </w:rPr>
        <w:t>蔬菜</w:t>
      </w:r>
      <w:r>
        <w:rPr>
          <w:rFonts w:hint="eastAsia" w:ascii="仿宋_GB2312" w:hAnsi="仿宋_GB2312" w:eastAsia="仿宋_GB2312" w:cs="仿宋_GB2312"/>
          <w:bCs/>
          <w:sz w:val="32"/>
          <w:szCs w:val="32"/>
        </w:rPr>
        <w:t>完全满足国家标准《GB2763-2021食品中农药最大残留限量标准》和《GB 2762-2022 食品安全国家标准食品中污染物限量要求》，且可以溯源</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对于任何违背国家法律法规和贵司食品安全要求行为</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给甲方或他人造成损害的，乙方应承担一切责任并赔偿损失，包括但不限于直接损失、间接损失、违约金等，以及追索这些债务而支出的诉讼费、律师费、保全费、保函费、鉴定费等费用。</w:t>
      </w:r>
    </w:p>
    <w:p w14:paraId="6B778F19">
      <w:pPr>
        <w:pStyle w:val="2"/>
        <w:keepNext w:val="0"/>
        <w:keepLines w:val="0"/>
        <w:pageBreakBefore w:val="0"/>
        <w:kinsoku/>
        <w:overflowPunct/>
        <w:topLinePunct w:val="0"/>
        <w:autoSpaceDE/>
        <w:autoSpaceDN/>
        <w:bidi w:val="0"/>
        <w:spacing w:line="520" w:lineRule="exact"/>
        <w:rPr>
          <w:rFonts w:hint="eastAsia" w:hAnsi="仿宋_GB2312" w:cs="仿宋_GB2312"/>
          <w:bCs/>
          <w:sz w:val="32"/>
          <w:szCs w:val="32"/>
          <w:lang w:val="en-US" w:eastAsia="zh-CN"/>
        </w:rPr>
      </w:pPr>
      <w:r>
        <w:rPr>
          <w:rFonts w:hint="eastAsia" w:hAnsi="仿宋_GB2312" w:cs="仿宋_GB2312"/>
          <w:bCs/>
          <w:sz w:val="32"/>
          <w:szCs w:val="32"/>
          <w:lang w:val="en-US" w:eastAsia="zh-CN"/>
        </w:rPr>
        <w:t>10.如甲方有购买大棚蔬菜保险，乙方可经甲方同意后，按其承包面积占甲方保险总面积的比例，向甲方支付蔬菜保险费用，支付费用后，乙方承包部分所产生的保险理赔金归乙方所有。</w:t>
      </w:r>
    </w:p>
    <w:p w14:paraId="693079E1">
      <w:pPr>
        <w:pStyle w:val="2"/>
        <w:keepNext w:val="0"/>
        <w:keepLines w:val="0"/>
        <w:pageBreakBefore w:val="0"/>
        <w:kinsoku/>
        <w:overflowPunct/>
        <w:topLinePunct w:val="0"/>
        <w:autoSpaceDE/>
        <w:autoSpaceDN/>
        <w:bidi w:val="0"/>
        <w:spacing w:line="520" w:lineRule="exact"/>
        <w:rPr>
          <w:rFonts w:hint="default" w:hAnsi="仿宋_GB2312" w:cs="仿宋_GB2312"/>
          <w:bCs/>
          <w:sz w:val="32"/>
          <w:szCs w:val="32"/>
          <w:lang w:val="en-US" w:eastAsia="zh-CN"/>
        </w:rPr>
      </w:pPr>
      <w:r>
        <w:rPr>
          <w:rFonts w:hint="eastAsia" w:hAnsi="仿宋_GB2312" w:cs="仿宋_GB2312"/>
          <w:bCs/>
          <w:sz w:val="32"/>
          <w:szCs w:val="32"/>
          <w:lang w:val="en-US" w:eastAsia="zh-CN"/>
        </w:rPr>
        <w:t>11.乙方需配合甲方工作要求，做好生活区域及工作区域相关卫生。乙方需在每日20点前将当日用工情况登记表发送给甲方。</w:t>
      </w:r>
    </w:p>
    <w:p w14:paraId="4F339614">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第六条  </w:t>
      </w:r>
      <w:r>
        <w:rPr>
          <w:rFonts w:hint="eastAsia" w:ascii="仿宋_GB2312" w:hAnsi="仿宋_GB2312" w:eastAsia="仿宋_GB2312" w:cs="仿宋_GB2312"/>
          <w:b/>
          <w:bCs/>
          <w:sz w:val="32"/>
          <w:szCs w:val="32"/>
        </w:rPr>
        <w:t>合同变更、解除</w:t>
      </w:r>
    </w:p>
    <w:p w14:paraId="3D449078">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1.经协商一致，甲乙双方可对本合同进行变更、解除。</w:t>
      </w:r>
    </w:p>
    <w:p w14:paraId="5DA1504A">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.合同有效期内，因不可抗力导致合同无法继续履行的，当事人可以解除合同；双方应按合同解除日期，结清合同履行期间相关费用。</w:t>
      </w:r>
    </w:p>
    <w:p w14:paraId="1DCF4E74">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.当事人一方违约导致合同无法履行的，另一方可以解除合同。</w:t>
      </w:r>
    </w:p>
    <w:p w14:paraId="10CE81B9">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第七条  </w:t>
      </w:r>
      <w:r>
        <w:rPr>
          <w:rFonts w:hint="eastAsia" w:ascii="仿宋_GB2312" w:hAnsi="仿宋_GB2312" w:eastAsia="仿宋_GB2312" w:cs="仿宋_GB2312"/>
          <w:b/>
          <w:bCs/>
          <w:sz w:val="32"/>
          <w:szCs w:val="32"/>
        </w:rPr>
        <w:t>违约责任</w:t>
      </w:r>
    </w:p>
    <w:p w14:paraId="6E6E6B13">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如乙方在签约45天内，无实际运营动作或消极怠工，则甲方会向乙方发出整改意见，若在甲方发出整改意见15天后，乙方仍未整改，则甲方有权收回所有土地，乙方已投入成本甲方不负责赔偿，且乙方的保证金作为违约金全部扣除，不再退还。</w:t>
      </w:r>
    </w:p>
    <w:p w14:paraId="3502E6D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lang w:val="en-US" w:eastAsia="zh-CN"/>
        </w:rPr>
        <w:t>乙方有责任保护好大棚基地的一切设施，如在承包期限到期交付时，乙方交付给甲方的大棚发生损坏，则根据实际损失金额从保证金中扣除相应部分；损失金额大于保证金的部分，需由乙方额外赔付给甲方。</w:t>
      </w:r>
    </w:p>
    <w:p w14:paraId="590A6D93">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kern w:val="2"/>
          <w:sz w:val="32"/>
          <w:szCs w:val="32"/>
          <w:lang w:val="en-US" w:eastAsia="zh-CN" w:bidi="ar-SA"/>
        </w:rPr>
        <w:t>3．</w:t>
      </w:r>
      <w:r>
        <w:rPr>
          <w:rFonts w:hint="eastAsia" w:ascii="仿宋_GB2312" w:hAnsi="仿宋_GB2312" w:eastAsia="仿宋_GB2312" w:cs="仿宋_GB2312"/>
          <w:color w:val="auto"/>
          <w:sz w:val="32"/>
          <w:szCs w:val="32"/>
          <w:lang w:eastAsia="zh-CN"/>
        </w:rPr>
        <w:t>甲方逾期交付本合同约定大棚的，每延迟一天，应向乙方支付违约金【以本合同承包总额为基数，按中国人银行公布的同期贷款市场报价利率（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）四倍计算】；乙方逾期支付租金的，每延迟一天，应向甲方支付逾期付款利息【以未付租金总额为基数，按中国人银行公布的同期贷款市场报价利率（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w:t>
      </w:r>
    </w:p>
    <w:p w14:paraId="6FC25F3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4.如甲方质疑乙方出现总利润额有虚报瞒报等行为，可通过第三方审计公司进行财务审计，如虚报总利润额属实，则审计费用由乙方承担，如审计结果证实乙方未存在虚报行为，则审计费用甲方承担。</w:t>
      </w:r>
    </w:p>
    <w:p w14:paraId="54ADEC9C">
      <w:pPr>
        <w:pStyle w:val="7"/>
        <w:keepNext w:val="0"/>
        <w:keepLines w:val="0"/>
        <w:pageBreakBefore w:val="0"/>
        <w:kinsoku/>
        <w:overflowPunct/>
        <w:topLinePunct w:val="0"/>
        <w:autoSpaceDE/>
        <w:autoSpaceDN/>
        <w:bidi w:val="0"/>
        <w:adjustRightInd w:val="0"/>
        <w:spacing w:line="520" w:lineRule="exact"/>
        <w:ind w:left="0" w:leftChars="0"/>
        <w:rPr>
          <w:rFonts w:hint="eastAsia" w:ascii="仿宋_GB2312" w:hAnsi="仿宋_GB2312" w:eastAsia="仿宋_GB2312" w:cs="仿宋_GB2312"/>
          <w:color w:val="auto"/>
          <w:sz w:val="32"/>
          <w:szCs w:val="32"/>
          <w:lang w:val="en-US"/>
        </w:rPr>
      </w:pPr>
      <w:r>
        <w:rPr>
          <w:rFonts w:hint="eastAsia" w:ascii="仿宋_GB2312" w:hAnsi="仿宋_GB2312" w:eastAsia="仿宋_GB2312" w:cs="仿宋_GB2312"/>
          <w:color w:val="FF0000"/>
          <w:sz w:val="32"/>
          <w:szCs w:val="32"/>
          <w:lang w:val="en-US" w:eastAsia="zh-CN"/>
        </w:rPr>
        <w:t xml:space="preserve">   </w:t>
      </w:r>
      <w:r>
        <w:rPr>
          <w:rFonts w:hint="eastAsia" w:ascii="仿宋_GB2312" w:hAnsi="仿宋_GB2312" w:eastAsia="仿宋_GB2312" w:cs="仿宋_GB2312"/>
          <w:color w:val="auto"/>
          <w:sz w:val="32"/>
          <w:szCs w:val="32"/>
          <w:lang w:val="en-US" w:eastAsia="zh-CN"/>
        </w:rPr>
        <w:t xml:space="preserve"> 5.如乙方隐瞒总利润额或进行总利润额虚报，则乙方应向甲方支付违约金（违约金金额的计算方式：违约金=隐瞒的总利润额金额*甲方分红比例*5）。</w:t>
      </w:r>
    </w:p>
    <w:p w14:paraId="3659295F">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6．</w:t>
      </w:r>
      <w:r>
        <w:rPr>
          <w:rFonts w:hint="eastAsia" w:ascii="仿宋_GB2312" w:hAnsi="仿宋_GB2312" w:eastAsia="仿宋_GB2312" w:cs="仿宋_GB2312"/>
          <w:sz w:val="32"/>
          <w:szCs w:val="32"/>
        </w:rPr>
        <w:t>乙方存在下列情形之一的，甲方有权单方无条件解除本合同，并要求乙方支付相当于本合同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金额20%的违约金</w:t>
      </w:r>
      <w:r>
        <w:rPr>
          <w:rFonts w:hint="eastAsia" w:hAnsi="仿宋_GB2312" w:cs="仿宋_GB2312"/>
          <w:sz w:val="32"/>
          <w:szCs w:val="32"/>
          <w:lang w:val="en-US" w:eastAsia="zh-CN"/>
        </w:rPr>
        <w:t>且保证金不退</w:t>
      </w:r>
      <w:r>
        <w:rPr>
          <w:rFonts w:hint="eastAsia" w:ascii="仿宋_GB2312" w:hAnsi="仿宋_GB2312" w:eastAsia="仿宋_GB2312" w:cs="仿宋_GB2312"/>
          <w:sz w:val="32"/>
          <w:szCs w:val="32"/>
        </w:rPr>
        <w:t>。</w:t>
      </w:r>
    </w:p>
    <w:p w14:paraId="2F73EE32">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乙方逾期支付</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超过30日的；</w:t>
      </w:r>
    </w:p>
    <w:p w14:paraId="0E885BC1">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乙方擅自将承包大棚转包、转借、转让的；</w:t>
      </w:r>
    </w:p>
    <w:p w14:paraId="4C0A719A">
      <w:pPr>
        <w:pStyle w:val="26"/>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乙方未经甲方书面同意私自改变生产用途和结构、破坏水利等基本设施或给大棚及土地资产造成永久性损害的。</w:t>
      </w:r>
    </w:p>
    <w:p w14:paraId="0847944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7．</w:t>
      </w:r>
      <w:r>
        <w:rPr>
          <w:rFonts w:hint="eastAsia" w:ascii="仿宋_GB2312" w:hAnsi="仿宋_GB2312" w:eastAsia="仿宋_GB2312" w:cs="仿宋_GB2312"/>
          <w:sz w:val="32"/>
          <w:szCs w:val="32"/>
        </w:rPr>
        <w:t>甲方存在下列情形之一的，乙方有权单方解除本合同并要求甲方支付相当于本合同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总额20%的违约金，由此造成损失的，由甲方据实赔偿：</w:t>
      </w:r>
    </w:p>
    <w:p w14:paraId="31465A6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甲方发包大棚的手续不合法或大棚经营权属不清，产生权属纠纷或其他经济纠纷，致使合同全部或部分不能履行；</w:t>
      </w:r>
    </w:p>
    <w:p w14:paraId="34A61B5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甲方违反合同约定擅自干涉和妨碍乙方的生产经营,致使乙方无法进行正常的生产经营活动的；</w:t>
      </w:r>
    </w:p>
    <w:p w14:paraId="4E1F82D1">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甲方逾期交付大棚超过30日的。</w:t>
      </w:r>
    </w:p>
    <w:p w14:paraId="18CA9779">
      <w:pPr>
        <w:pStyle w:val="7"/>
        <w:keepNext w:val="0"/>
        <w:keepLines w:val="0"/>
        <w:pageBreakBefore w:val="0"/>
        <w:kinsoku/>
        <w:overflowPunct/>
        <w:topLinePunct w:val="0"/>
        <w:autoSpaceDE/>
        <w:autoSpaceDN/>
        <w:bidi w:val="0"/>
        <w:adjustRightIn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8.本合同履行过程中，因一方违约，守约方为维护自己的合法权益所产生的案件受理费、律师费、交通费、评估费、鉴定费、保全申请费、保函费等均由违约一方承担。</w:t>
      </w:r>
    </w:p>
    <w:p w14:paraId="1C13F06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第八条  </w:t>
      </w:r>
      <w:r>
        <w:rPr>
          <w:rFonts w:hint="eastAsia" w:ascii="仿宋_GB2312" w:hAnsi="仿宋_GB2312" w:eastAsia="仿宋_GB2312" w:cs="仿宋_GB2312"/>
          <w:b/>
          <w:bCs/>
          <w:sz w:val="32"/>
          <w:szCs w:val="32"/>
        </w:rPr>
        <w:t>纠纷解决方式</w:t>
      </w:r>
    </w:p>
    <w:p w14:paraId="25CAD3DD">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甲乙双方发生纠纷，可以协商解决</w:t>
      </w:r>
      <w:r>
        <w:rPr>
          <w:rFonts w:hint="eastAsia" w:ascii="仿宋_GB2312" w:hAnsi="仿宋_GB2312" w:eastAsia="仿宋_GB2312" w:cs="仿宋_GB2312"/>
          <w:color w:val="auto"/>
          <w:sz w:val="32"/>
          <w:szCs w:val="32"/>
          <w:lang w:eastAsia="zh-CN"/>
        </w:rPr>
        <w:t>。当事人不愿协商、调解或者协商、调解不成的，双方均可以直接向定安县人民法院诉请解决。</w:t>
      </w:r>
    </w:p>
    <w:p w14:paraId="7B927CC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第九条  </w:t>
      </w:r>
      <w:r>
        <w:rPr>
          <w:rFonts w:hint="eastAsia" w:ascii="仿宋_GB2312" w:hAnsi="仿宋_GB2312" w:eastAsia="仿宋_GB2312" w:cs="仿宋_GB2312"/>
          <w:b/>
          <w:bCs/>
          <w:sz w:val="32"/>
          <w:szCs w:val="32"/>
        </w:rPr>
        <w:t>特别约定</w:t>
      </w:r>
    </w:p>
    <w:p w14:paraId="06F72E7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承包合同生效后，不因承办人或者负责人的变动而变更或者解除，也不因集体经济组织的分立或者合并而变更或者解除。</w:t>
      </w:r>
    </w:p>
    <w:p w14:paraId="79944650">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本合同未尽事宜，甲乙双方另行签订书面补充协议，补充协议与本合同具有同等效力。</w:t>
      </w:r>
    </w:p>
    <w:p w14:paraId="1B1C401D">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lang w:val="en-US" w:eastAsia="zh-CN"/>
        </w:rPr>
        <w:t xml:space="preserve">第十条  </w:t>
      </w:r>
      <w:r>
        <w:rPr>
          <w:rFonts w:hint="eastAsia" w:ascii="仿宋_GB2312" w:hAnsi="仿宋_GB2312" w:eastAsia="仿宋_GB2312" w:cs="仿宋_GB2312"/>
          <w:b/>
          <w:bCs/>
          <w:sz w:val="32"/>
          <w:szCs w:val="32"/>
        </w:rPr>
        <w:t>其他约定</w:t>
      </w:r>
    </w:p>
    <w:p w14:paraId="46A22B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双方同意以本合同首部所载联系人和联系方式为双方指定联系、送达方式，一方拟变更上述联系信息的，应当提前5天书面通知对方；否则，视同上述联系信息未变更，另一方将相关文件、资料、信息发送到上述电子邮箱或通讯地址即视为已送达。</w:t>
      </w:r>
    </w:p>
    <w:p w14:paraId="3D2211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本合同一式</w:t>
      </w:r>
      <w:r>
        <w:rPr>
          <w:rFonts w:hint="eastAsia" w:hAnsi="仿宋_GB2312" w:cs="仿宋_GB2312"/>
          <w:sz w:val="32"/>
          <w:szCs w:val="32"/>
          <w:lang w:val="en-US" w:eastAsia="zh-CN"/>
        </w:rPr>
        <w:t>肆</w:t>
      </w:r>
      <w:r>
        <w:rPr>
          <w:rFonts w:hint="eastAsia" w:ascii="仿宋_GB2312" w:hAnsi="仿宋_GB2312" w:eastAsia="仿宋_GB2312" w:cs="仿宋_GB2312"/>
          <w:sz w:val="32"/>
          <w:szCs w:val="32"/>
        </w:rPr>
        <w:t>份，甲</w:t>
      </w:r>
      <w:r>
        <w:rPr>
          <w:rFonts w:hint="eastAsia" w:hAnsi="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叁</w:t>
      </w:r>
      <w:r>
        <w:rPr>
          <w:rFonts w:hint="eastAsia" w:ascii="仿宋_GB2312" w:hAnsi="仿宋_GB2312" w:eastAsia="仿宋_GB2312" w:cs="仿宋_GB2312"/>
          <w:sz w:val="32"/>
          <w:szCs w:val="32"/>
          <w:lang w:val="en-US" w:eastAsia="zh-CN"/>
        </w:rPr>
        <w:t>份</w:t>
      </w:r>
      <w:r>
        <w:rPr>
          <w:rFonts w:hint="eastAsia" w:ascii="仿宋_GB2312" w:hAnsi="仿宋_GB2312" w:eastAsia="仿宋_GB2312" w:cs="仿宋_GB2312"/>
          <w:sz w:val="32"/>
          <w:szCs w:val="32"/>
        </w:rPr>
        <w:t>乙</w:t>
      </w:r>
      <w:r>
        <w:rPr>
          <w:rFonts w:hint="eastAsia" w:ascii="仿宋_GB2312" w:hAnsi="仿宋_GB2312" w:eastAsia="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壹</w:t>
      </w:r>
      <w:r>
        <w:rPr>
          <w:rFonts w:hint="eastAsia" w:ascii="仿宋_GB2312" w:hAnsi="仿宋_GB2312" w:eastAsia="仿宋_GB2312" w:cs="仿宋_GB2312"/>
          <w:sz w:val="32"/>
          <w:szCs w:val="32"/>
        </w:rPr>
        <w:t>份。双方签字盖章（即自然人主体签字、法人主体盖章）有效。</w:t>
      </w:r>
    </w:p>
    <w:p w14:paraId="0B326C7D">
      <w:pPr>
        <w:keepNext w:val="0"/>
        <w:keepLines w:val="0"/>
        <w:pageBreakBefore w:val="0"/>
        <w:widowControl/>
        <w:kinsoku/>
        <w:wordWrap w:val="0"/>
        <w:overflowPunct/>
        <w:topLinePunct w:val="0"/>
        <w:autoSpaceDE/>
        <w:autoSpaceDN/>
        <w:bidi w:val="0"/>
        <w:adjustRightInd w:val="0"/>
        <w:snapToGrid w:val="0"/>
        <w:spacing w:line="520" w:lineRule="exact"/>
        <w:ind w:left="0" w:leftChars="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（本页以下无正文）</w:t>
      </w:r>
    </w:p>
    <w:p w14:paraId="1CE4E58F">
      <w:pPr>
        <w:pStyle w:val="2"/>
        <w:rPr>
          <w:rFonts w:hint="eastAsia" w:ascii="仿宋_GB2312" w:hAnsi="仿宋_GB2312" w:eastAsia="仿宋_GB2312" w:cs="仿宋_GB2312"/>
          <w:sz w:val="32"/>
          <w:szCs w:val="32"/>
        </w:rPr>
      </w:pPr>
    </w:p>
    <w:p w14:paraId="0CC93B29">
      <w:pPr>
        <w:pStyle w:val="2"/>
        <w:rPr>
          <w:rFonts w:hint="eastAsia" w:ascii="仿宋_GB2312" w:hAnsi="仿宋_GB2312" w:eastAsia="仿宋_GB2312" w:cs="仿宋_GB2312"/>
          <w:sz w:val="32"/>
          <w:szCs w:val="32"/>
        </w:rPr>
      </w:pPr>
    </w:p>
    <w:p w14:paraId="1BC181EB">
      <w:pPr>
        <w:pStyle w:val="2"/>
        <w:rPr>
          <w:rFonts w:hint="eastAsia" w:ascii="仿宋_GB2312" w:hAnsi="仿宋_GB2312" w:eastAsia="仿宋_GB2312" w:cs="仿宋_GB2312"/>
          <w:sz w:val="32"/>
          <w:szCs w:val="32"/>
        </w:rPr>
      </w:pPr>
    </w:p>
    <w:p w14:paraId="65CDC155">
      <w:pPr>
        <w:pStyle w:val="2"/>
        <w:rPr>
          <w:rFonts w:hint="eastAsia" w:ascii="仿宋_GB2312" w:hAnsi="仿宋_GB2312" w:eastAsia="仿宋_GB2312" w:cs="仿宋_GB2312"/>
          <w:sz w:val="32"/>
          <w:szCs w:val="32"/>
        </w:rPr>
      </w:pPr>
    </w:p>
    <w:p w14:paraId="52D102EE">
      <w:pPr>
        <w:pStyle w:val="2"/>
        <w:rPr>
          <w:rFonts w:hint="eastAsia" w:ascii="仿宋_GB2312" w:hAnsi="仿宋_GB2312" w:eastAsia="仿宋_GB2312" w:cs="仿宋_GB2312"/>
          <w:sz w:val="32"/>
          <w:szCs w:val="32"/>
        </w:rPr>
      </w:pPr>
    </w:p>
    <w:p w14:paraId="5ACD491F">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14251CA5">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甲方（盖章）：</w:t>
      </w:r>
    </w:p>
    <w:p w14:paraId="69408FE9">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3F3541E0">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p w14:paraId="2FD356CB">
      <w:pPr>
        <w:pStyle w:val="2"/>
        <w:keepNext w:val="0"/>
        <w:keepLines w:val="0"/>
        <w:pageBreakBefore w:val="0"/>
        <w:kinsoku/>
        <w:overflowPunct/>
        <w:topLinePunct w:val="0"/>
        <w:autoSpaceDE/>
        <w:autoSpaceDN/>
        <w:bidi w:val="0"/>
        <w:spacing w:line="520" w:lineRule="exact"/>
        <w:rPr>
          <w:rFonts w:hint="eastAsia"/>
        </w:rPr>
      </w:pPr>
    </w:p>
    <w:p w14:paraId="77B7CE85">
      <w:pPr>
        <w:pStyle w:val="2"/>
        <w:keepNext w:val="0"/>
        <w:keepLines w:val="0"/>
        <w:pageBreakBefore w:val="0"/>
        <w:kinsoku/>
        <w:overflowPunct/>
        <w:topLinePunct w:val="0"/>
        <w:autoSpaceDE/>
        <w:autoSpaceDN/>
        <w:bidi w:val="0"/>
        <w:spacing w:line="520" w:lineRule="exact"/>
        <w:rPr>
          <w:rFonts w:hint="eastAsia"/>
        </w:rPr>
      </w:pPr>
    </w:p>
    <w:p w14:paraId="01B3586C">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乙方（盖章）：</w:t>
      </w:r>
    </w:p>
    <w:p w14:paraId="47964196">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5F40C5D2">
      <w:pPr>
        <w:pStyle w:val="2"/>
        <w:keepNext w:val="0"/>
        <w:keepLines w:val="0"/>
        <w:pageBreakBefore w:val="0"/>
        <w:kinsoku/>
        <w:overflowPunct/>
        <w:topLinePunct w:val="0"/>
        <w:autoSpaceDE/>
        <w:autoSpaceDN/>
        <w:bidi w:val="0"/>
        <w:spacing w:line="520" w:lineRule="exact"/>
        <w:rPr>
          <w:rFonts w:hint="eastAsia"/>
        </w:rPr>
      </w:pPr>
    </w:p>
    <w:p w14:paraId="13077A9A">
      <w:pPr>
        <w:pStyle w:val="15"/>
        <w:keepNext w:val="0"/>
        <w:keepLines w:val="0"/>
        <w:pageBreakBefore w:val="0"/>
        <w:kinsoku/>
        <w:overflowPunct/>
        <w:topLinePunct w:val="0"/>
        <w:autoSpaceDE/>
        <w:autoSpaceDN/>
        <w:bidi w:val="0"/>
        <w:spacing w:before="0" w:beforeAutospacing="0" w:after="0" w:afterAutospacing="0"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sectPr>
      <w:headerReference r:id="rId3" w:type="default"/>
      <w:footerReference r:id="rId5" w:type="default"/>
      <w:headerReference r:id="rId4" w:type="even"/>
      <w:footerReference r:id="rId6" w:type="even"/>
      <w:pgSz w:w="11907" w:h="16840"/>
      <w:pgMar w:top="2098" w:right="1474" w:bottom="1985" w:left="1588" w:header="0" w:footer="1418" w:gutter="0"/>
      <w:pgNumType w:fmt="numberInDash"/>
      <w:cols w:space="720" w:num="1"/>
      <w:docGrid w:type="linesAndChars" w:linePitch="579" w:charSpace="-84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2E709790-0AA6-4134-8C84-1CDDE5726901}"/>
  </w:font>
  <w:font w:name="宋体">
    <w:panose1 w:val="02010600030101010101"/>
    <w:charset w:val="7A"/>
    <w:family w:val="auto"/>
    <w:pitch w:val="default"/>
    <w:sig w:usb0="00000203" w:usb1="288F0000" w:usb2="00000006" w:usb3="00000000" w:csb0="00040001" w:csb1="00000000"/>
    <w:embedRegular r:id="rId2" w:fontKey="{5D971608-7D07-4CA7-BA89-71F0AAB48FFC}"/>
  </w:font>
  <w:font w:name="Wingdings">
    <w:panose1 w:val="05000000000000000000"/>
    <w:charset w:val="02"/>
    <w:family w:val="auto"/>
    <w:pitch w:val="default"/>
    <w:sig w:usb0="00000000" w:usb1="00000000" w:usb2="00000000" w:usb3="00000000" w:csb0="80000000" w:csb1="00000000"/>
    <w:embedRegular r:id="rId3" w:fontKey="{E451034B-6A74-4DA8-BB74-0E51BB978082}"/>
  </w:font>
  <w:font w:name="Arial">
    <w:panose1 w:val="020B0604020202020204"/>
    <w:charset w:val="01"/>
    <w:family w:val="swiss"/>
    <w:pitch w:val="default"/>
    <w:sig w:usb0="E0002EFF" w:usb1="C000785B" w:usb2="00000009" w:usb3="00000000" w:csb0="400001FF" w:csb1="FFFF0000"/>
    <w:embedRegular r:id="rId4" w:fontKey="{309026BD-2BA1-4C22-81BC-155CA0C1CA2B}"/>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A4A15858-611F-4609-83FB-54C89F6FBBC1}"/>
  </w:font>
  <w:font w:name="Symbol">
    <w:panose1 w:val="05050102010706020507"/>
    <w:charset w:val="02"/>
    <w:family w:val="roman"/>
    <w:pitch w:val="default"/>
    <w:sig w:usb0="00000000" w:usb1="00000000" w:usb2="00000000" w:usb3="00000000" w:csb0="80000000" w:csb1="00000000"/>
    <w:embedRegular r:id="rId6" w:fontKey="{3659FCF6-0FA7-46C8-80F2-3B23F2BF700A}"/>
  </w:font>
  <w:font w:name="Calibri">
    <w:panose1 w:val="020F0502020204030204"/>
    <w:charset w:val="00"/>
    <w:family w:val="swiss"/>
    <w:pitch w:val="default"/>
    <w:sig w:usb0="E4002EFF" w:usb1="C200247B" w:usb2="00000009" w:usb3="00000000" w:csb0="200001FF" w:csb1="00000000"/>
    <w:embedRegular r:id="rId7" w:fontKey="{D38A9010-2135-400B-80F9-490A2C915580}"/>
  </w:font>
  <w:font w:name="仿宋_GB2312">
    <w:panose1 w:val="02010609030101010101"/>
    <w:charset w:val="86"/>
    <w:family w:val="modern"/>
    <w:pitch w:val="default"/>
    <w:sig w:usb0="00000001" w:usb1="080E0000" w:usb2="00000000" w:usb3="00000000" w:csb0="00040000" w:csb1="00000000"/>
    <w:embedRegular r:id="rId8" w:fontKey="{435A18BF-C36C-4288-99D6-AABA598EE45C}"/>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方正小标宋简体">
    <w:panose1 w:val="02000000000000000000"/>
    <w:charset w:val="86"/>
    <w:family w:val="script"/>
    <w:pitch w:val="default"/>
    <w:sig w:usb0="00000001" w:usb1="08000000" w:usb2="00000000" w:usb3="00000000" w:csb0="00040000" w:csb1="00000000"/>
    <w:embedRegular r:id="rId9" w:fontKey="{5A3135FC-DB3C-484A-965A-4A63071E7AC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0F3761">
    <w:pPr>
      <w:pStyle w:val="12"/>
      <w:jc w:val="right"/>
      <w:rPr>
        <w:sz w:val="28"/>
      </w:rPr>
    </w:pPr>
    <w:r>
      <w:rPr>
        <w:sz w:val="28"/>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3C624217">
                          <w:pPr>
                            <w:pStyle w:val="12"/>
                          </w:pPr>
                          <w:r>
                            <w:fldChar w:fldCharType="begin"/>
                          </w:r>
                          <w:r>
                            <w:instrText xml:space="preserve"> PAGE  \* MERGEFORMAT </w:instrText>
                          </w:r>
                          <w:r>
                            <w:fldChar w:fldCharType="separate"/>
                          </w:r>
                          <w:r>
                            <w:t>- 1 -</w:t>
                          </w:r>
                          <w:r>
                            <w:fldChar w:fldCharType="end"/>
                          </w:r>
                        </w:p>
                      </w:txbxContent>
                    </wps:txbx>
                    <wps:bodyPr vert="horz" wrap="none" lIns="0" tIns="0" rIns="0" bIns="0" anchor="t">
                      <a:spAutoFit/>
                    </wps:bodyPr>
                  </wps:wsp>
                </a:graphicData>
              </a:graphic>
            </wp:anchor>
          </w:drawing>
        </mc:Choice>
        <mc:Fallback>
          <w:pict>
            <v:rect id="文本框 4"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hhl1t8kBAACSAwAADgAAAAAAAAABACAAAAAfAQAAZHJzL2Uyb0Rv&#10;Yy54bWxQSwUGAAAAAAYABgBZAQAAWgUAAAAA&#10;">
              <v:fill on="f" focussize="0,0"/>
              <v:stroke on="f"/>
              <v:imagedata o:title=""/>
              <o:lock v:ext="edit" aspectratio="f"/>
              <v:textbox inset="0mm,0mm,0mm,0mm" style="mso-fit-shape-to-text:t;">
                <w:txbxContent>
                  <w:p w14:paraId="3C624217">
                    <w:pPr>
                      <w:pStyle w:val="12"/>
                    </w:pPr>
                    <w:r>
                      <w:fldChar w:fldCharType="begin"/>
                    </w:r>
                    <w:r>
                      <w:instrText xml:space="preserve"> PAGE  \* MERGEFORMAT </w:instrText>
                    </w:r>
                    <w:r>
                      <w:fldChar w:fldCharType="separate"/>
                    </w:r>
                    <w:r>
                      <w:t>- 1 -</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85B70">
    <w:pPr>
      <w:pStyle w:val="12"/>
      <w:rPr>
        <w:sz w:val="28"/>
      </w:rPr>
    </w:pPr>
    <w:r>
      <w:rPr>
        <w:sz w:val="28"/>
      </w:rP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7" name="文本框 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wps:txbx>
                    <wps:bodyPr wrap="none" lIns="0" tIns="0" rIns="0" bIns="0">
                      <a:spAutoFit/>
                    </wps:bodyPr>
                  </wps:wsp>
                </a:graphicData>
              </a:graphic>
            </wp:anchor>
          </w:drawing>
        </mc:Choice>
        <mc:Fallback>
          <w:pict>
            <v:rect id="文本框 6"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5dblS0AAAAAUBAAAPAAAAAAAAAAEAIAAAACIAAABkcnMvZG93bnJldi54bWxQSwECFAAUAAAA&#10;CACHTuJAqJhhar0BAAB7AwAADgAAAAAAAAABACAAAAAfAQAAZHJzL2Uyb0RvYy54bWxQSwUGAAAA&#10;AAYABgBZAQAATgUAAAAA&#10;">
              <v:fill on="f" focussize="0,0"/>
              <v:stroke on="f"/>
              <v:imagedata o:title=""/>
              <o:lock v:ext="edit" aspectratio="f"/>
              <v:textbox inset="0mm,0mm,0mm,0mm" style="mso-fit-shape-to-text:t;">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7E2DC4">
    <w:pPr>
      <w:pStyle w:val="13"/>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A2EA8">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suff w:val="nothing"/>
      <w:lvlText w:val="%1．"/>
      <w:lvlJc w:val="left"/>
      <w:pPr>
        <w:ind w:left="0" w:firstLine="40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attachedTemplate r:id="rId1"/>
  <w:documentProtection w:enforcement="0"/>
  <w:defaultTabStop w:val="420"/>
  <w:drawingGridHorizontalSpacing w:val="158"/>
  <w:drawingGridVerticalSpacing w:val="57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EsImhkaWQiOiI1NmQzNTIwOTBmY2EyZTVjODQ1N2Q0NDljNTJhNzQ4NCIsInVzZXJDb3VudCI6NH0="/>
    <w:docVar w:name="KSO_WPS_MARK_KEY" w:val="8d552c32-7414-441e-95de-3a851a2302de"/>
  </w:docVars>
  <w:rsids>
    <w:rsidRoot w:val="00000000"/>
    <w:rsid w:val="0A293CBB"/>
    <w:rsid w:val="0DB36B9E"/>
    <w:rsid w:val="0DFD149D"/>
    <w:rsid w:val="0E2A6F40"/>
    <w:rsid w:val="113D4C6C"/>
    <w:rsid w:val="1AAC2302"/>
    <w:rsid w:val="1AF27408"/>
    <w:rsid w:val="1C9A063E"/>
    <w:rsid w:val="20994828"/>
    <w:rsid w:val="237A5662"/>
    <w:rsid w:val="28D124C0"/>
    <w:rsid w:val="2AB1510F"/>
    <w:rsid w:val="30C20906"/>
    <w:rsid w:val="351867B7"/>
    <w:rsid w:val="3736503E"/>
    <w:rsid w:val="395E2777"/>
    <w:rsid w:val="3A3814AC"/>
    <w:rsid w:val="43520DF6"/>
    <w:rsid w:val="439B4D53"/>
    <w:rsid w:val="44031108"/>
    <w:rsid w:val="45A83D21"/>
    <w:rsid w:val="4CE83CDD"/>
    <w:rsid w:val="4D6C51D7"/>
    <w:rsid w:val="4F1008FA"/>
    <w:rsid w:val="51F51E0C"/>
    <w:rsid w:val="5594178A"/>
    <w:rsid w:val="59CD3061"/>
    <w:rsid w:val="5D825A2E"/>
    <w:rsid w:val="5DA402F0"/>
    <w:rsid w:val="5E7D77DB"/>
    <w:rsid w:val="61BC0D8B"/>
    <w:rsid w:val="6BD538C1"/>
    <w:rsid w:val="6D8C6249"/>
    <w:rsid w:val="6E8B3274"/>
    <w:rsid w:val="75893850"/>
    <w:rsid w:val="77987D4D"/>
    <w:rsid w:val="7AD56B11"/>
    <w:rsid w:val="7C823954"/>
    <w:rsid w:val="7D03092C"/>
    <w:rsid w:val="7D675CD7"/>
    <w:rsid w:val="7E0B4B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仿宋_GB2312" w:hAnsi="Times New Roman" w:eastAsia="仿宋_GB2312" w:cs="Times New Roman"/>
      <w:kern w:val="2"/>
      <w:sz w:val="32"/>
      <w:szCs w:val="22"/>
      <w:lang w:val="en-US" w:eastAsia="zh-CN" w:bidi="ar-SA"/>
    </w:rPr>
  </w:style>
  <w:style w:type="paragraph" w:styleId="3">
    <w:name w:val="heading 1"/>
    <w:basedOn w:val="1"/>
    <w:next w:val="1"/>
    <w:autoRedefine/>
    <w:qFormat/>
    <w:uiPriority w:val="9"/>
    <w:pPr>
      <w:spacing w:line="360" w:lineRule="auto"/>
      <w:jc w:val="center"/>
      <w:outlineLvl w:val="0"/>
    </w:pPr>
    <w:rPr>
      <w:rFonts w:hint="eastAsia" w:hAnsi="宋体"/>
      <w:kern w:val="44"/>
      <w:szCs w:val="48"/>
    </w:rPr>
  </w:style>
  <w:style w:type="paragraph" w:styleId="4">
    <w:name w:val="heading 2"/>
    <w:basedOn w:val="1"/>
    <w:next w:val="1"/>
    <w:autoRedefine/>
    <w:qFormat/>
    <w:uiPriority w:val="9"/>
    <w:pPr>
      <w:spacing w:line="360" w:lineRule="auto"/>
      <w:jc w:val="center"/>
      <w:outlineLvl w:val="1"/>
    </w:pPr>
    <w:rPr>
      <w:rFonts w:hint="eastAsia" w:ascii="宋体" w:hAnsi="宋体" w:eastAsia="楷体"/>
      <w:b/>
      <w:kern w:val="0"/>
      <w:sz w:val="24"/>
      <w:szCs w:val="36"/>
    </w:rPr>
  </w:style>
  <w:style w:type="character" w:default="1" w:styleId="18">
    <w:name w:val="Default Paragraph Font"/>
    <w:autoRedefine/>
    <w:qFormat/>
    <w:uiPriority w:val="1"/>
  </w:style>
  <w:style w:type="table" w:default="1" w:styleId="16">
    <w:name w:val="Normal Table"/>
    <w:autoRedefine/>
    <w:qFormat/>
    <w:uiPriority w:val="99"/>
    <w:tblPr>
      <w:tblCellMar>
        <w:top w:w="0" w:type="dxa"/>
        <w:left w:w="108" w:type="dxa"/>
        <w:bottom w:w="0" w:type="dxa"/>
        <w:right w:w="108" w:type="dxa"/>
      </w:tblCellMar>
    </w:tblPr>
  </w:style>
  <w:style w:type="paragraph" w:styleId="2">
    <w:name w:val="Body Text Indent 2"/>
    <w:basedOn w:val="1"/>
    <w:autoRedefine/>
    <w:qFormat/>
    <w:uiPriority w:val="0"/>
    <w:pPr>
      <w:ind w:firstLine="536"/>
    </w:pPr>
    <w:rPr>
      <w:sz w:val="28"/>
    </w:rPr>
  </w:style>
  <w:style w:type="paragraph" w:styleId="5">
    <w:name w:val="Normal Indent"/>
    <w:basedOn w:val="1"/>
    <w:qFormat/>
    <w:uiPriority w:val="0"/>
    <w:pPr>
      <w:adjustRightInd w:val="0"/>
      <w:snapToGrid w:val="0"/>
      <w:spacing w:line="360" w:lineRule="auto"/>
      <w:ind w:firstLine="462"/>
      <w:textAlignment w:val="baseline"/>
    </w:pPr>
    <w:rPr>
      <w:rFonts w:eastAsia="仿宋_GB2312"/>
      <w:kern w:val="0"/>
      <w:sz w:val="24"/>
    </w:rPr>
  </w:style>
  <w:style w:type="paragraph" w:styleId="6">
    <w:name w:val="annotation text"/>
    <w:basedOn w:val="1"/>
    <w:autoRedefine/>
    <w:qFormat/>
    <w:uiPriority w:val="0"/>
    <w:pPr>
      <w:jc w:val="left"/>
    </w:pPr>
  </w:style>
  <w:style w:type="paragraph" w:styleId="7">
    <w:name w:val="Body Text"/>
    <w:basedOn w:val="1"/>
    <w:next w:val="8"/>
    <w:autoRedefine/>
    <w:qFormat/>
    <w:uiPriority w:val="0"/>
    <w:pPr>
      <w:adjustRightInd w:val="0"/>
      <w:spacing w:line="560" w:lineRule="exact"/>
      <w:textAlignment w:val="baseline"/>
    </w:pPr>
    <w:rPr>
      <w:rFonts w:ascii="Times New Roman" w:hAnsi="Times New Roman" w:eastAsia="仿宋" w:cs="Times New Roman"/>
      <w:szCs w:val="20"/>
    </w:rPr>
  </w:style>
  <w:style w:type="paragraph" w:styleId="8">
    <w:name w:val="Date"/>
    <w:basedOn w:val="1"/>
    <w:next w:val="1"/>
    <w:autoRedefine/>
    <w:qFormat/>
    <w:uiPriority w:val="0"/>
    <w:rPr>
      <w:sz w:val="24"/>
      <w:szCs w:val="20"/>
    </w:rPr>
  </w:style>
  <w:style w:type="paragraph" w:styleId="9">
    <w:name w:val="Body Text Indent"/>
    <w:basedOn w:val="1"/>
    <w:autoRedefine/>
    <w:qFormat/>
    <w:uiPriority w:val="0"/>
    <w:pPr>
      <w:ind w:firstLine="420" w:firstLineChars="200"/>
    </w:pPr>
    <w:rPr>
      <w:rFonts w:ascii="Calibri" w:hAnsi="Calibri" w:eastAsia="宋体"/>
      <w:sz w:val="21"/>
    </w:rPr>
  </w:style>
  <w:style w:type="paragraph" w:styleId="10">
    <w:name w:val="Plain Text"/>
    <w:basedOn w:val="1"/>
    <w:autoRedefine/>
    <w:qFormat/>
    <w:uiPriority w:val="0"/>
    <w:rPr>
      <w:rFonts w:ascii="宋体" w:hAnsi="Courier New" w:cs="Courier New"/>
      <w:sz w:val="24"/>
      <w:szCs w:val="21"/>
    </w:rPr>
  </w:style>
  <w:style w:type="paragraph" w:styleId="11">
    <w:name w:val="Balloon Text"/>
    <w:basedOn w:val="1"/>
    <w:link w:val="24"/>
    <w:autoRedefine/>
    <w:qFormat/>
    <w:uiPriority w:val="0"/>
    <w:rPr>
      <w:rFonts w:ascii="Times New Roman" w:eastAsia="宋体"/>
      <w:sz w:val="18"/>
      <w:szCs w:val="18"/>
    </w:rPr>
  </w:style>
  <w:style w:type="paragraph" w:styleId="12">
    <w:name w:val="footer"/>
    <w:basedOn w:val="1"/>
    <w:link w:val="21"/>
    <w:autoRedefine/>
    <w:qFormat/>
    <w:uiPriority w:val="99"/>
    <w:pPr>
      <w:tabs>
        <w:tab w:val="center" w:pos="4153"/>
        <w:tab w:val="right" w:pos="8306"/>
      </w:tabs>
      <w:snapToGrid w:val="0"/>
      <w:jc w:val="left"/>
    </w:pPr>
    <w:rPr>
      <w:rFonts w:ascii="Times New Roman" w:eastAsia="宋体"/>
      <w:sz w:val="18"/>
      <w:szCs w:val="18"/>
    </w:rPr>
  </w:style>
  <w:style w:type="paragraph" w:styleId="13">
    <w:name w:val="header"/>
    <w:basedOn w:val="1"/>
    <w:link w:val="20"/>
    <w:autoRedefine/>
    <w:qFormat/>
    <w:uiPriority w:val="0"/>
    <w:pPr>
      <w:pBdr>
        <w:bottom w:val="single" w:color="auto" w:sz="6" w:space="1"/>
      </w:pBdr>
      <w:tabs>
        <w:tab w:val="center" w:pos="4153"/>
        <w:tab w:val="right" w:pos="8306"/>
      </w:tabs>
      <w:snapToGrid w:val="0"/>
      <w:jc w:val="center"/>
    </w:pPr>
    <w:rPr>
      <w:rFonts w:ascii="Times New Roman" w:eastAsia="宋体"/>
      <w:sz w:val="18"/>
      <w:szCs w:val="18"/>
    </w:rPr>
  </w:style>
  <w:style w:type="paragraph" w:styleId="14">
    <w:name w:val="Body Text 2"/>
    <w:basedOn w:val="1"/>
    <w:autoRedefine/>
    <w:qFormat/>
    <w:uiPriority w:val="0"/>
    <w:pPr>
      <w:spacing w:after="120" w:line="480" w:lineRule="auto"/>
    </w:pPr>
    <w:rPr>
      <w:rFonts w:ascii="Calibri" w:hAnsi="Calibri"/>
      <w:szCs w:val="24"/>
    </w:rPr>
  </w:style>
  <w:style w:type="paragraph" w:styleId="15">
    <w:name w:val="Normal (Web)"/>
    <w:basedOn w:val="1"/>
    <w:autoRedefine/>
    <w:qFormat/>
    <w:uiPriority w:val="99"/>
    <w:pPr>
      <w:widowControl/>
      <w:spacing w:before="100" w:beforeAutospacing="1" w:after="100" w:afterAutospacing="1"/>
      <w:jc w:val="left"/>
    </w:pPr>
    <w:rPr>
      <w:rFonts w:ascii="宋体" w:hAnsi="宋体" w:eastAsia="宋体" w:cs="宋体"/>
      <w:kern w:val="0"/>
      <w:sz w:val="24"/>
      <w:szCs w:val="24"/>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autoRedefine/>
    <w:qFormat/>
    <w:uiPriority w:val="0"/>
    <w:rPr>
      <w:color w:val="333333"/>
      <w:u w:val="none"/>
    </w:rPr>
  </w:style>
  <w:style w:type="character" w:customStyle="1" w:styleId="20">
    <w:name w:val="页眉 字符"/>
    <w:link w:val="13"/>
    <w:autoRedefine/>
    <w:qFormat/>
    <w:uiPriority w:val="0"/>
    <w:rPr>
      <w:kern w:val="2"/>
      <w:sz w:val="18"/>
      <w:szCs w:val="18"/>
    </w:rPr>
  </w:style>
  <w:style w:type="character" w:customStyle="1" w:styleId="21">
    <w:name w:val="页脚 字符"/>
    <w:link w:val="12"/>
    <w:autoRedefine/>
    <w:qFormat/>
    <w:uiPriority w:val="99"/>
    <w:rPr>
      <w:kern w:val="2"/>
      <w:sz w:val="18"/>
      <w:szCs w:val="18"/>
    </w:rPr>
  </w:style>
  <w:style w:type="character" w:customStyle="1" w:styleId="22">
    <w:name w:val="样式2 Char"/>
    <w:link w:val="23"/>
    <w:autoRedefine/>
    <w:qFormat/>
    <w:uiPriority w:val="0"/>
    <w:rPr>
      <w:rFonts w:ascii="黑体" w:eastAsia="黑体"/>
      <w:sz w:val="24"/>
    </w:rPr>
  </w:style>
  <w:style w:type="paragraph" w:customStyle="1" w:styleId="23">
    <w:name w:val="样式2"/>
    <w:basedOn w:val="1"/>
    <w:link w:val="22"/>
    <w:autoRedefine/>
    <w:qFormat/>
    <w:uiPriority w:val="0"/>
    <w:pPr>
      <w:snapToGrid w:val="0"/>
      <w:spacing w:line="360" w:lineRule="auto"/>
      <w:ind w:firstLine="480" w:firstLineChars="200"/>
    </w:pPr>
    <w:rPr>
      <w:rFonts w:ascii="黑体" w:eastAsia="黑体"/>
      <w:kern w:val="0"/>
      <w:sz w:val="24"/>
      <w:szCs w:val="20"/>
    </w:rPr>
  </w:style>
  <w:style w:type="character" w:customStyle="1" w:styleId="24">
    <w:name w:val="批注框文本 字符"/>
    <w:link w:val="11"/>
    <w:qFormat/>
    <w:uiPriority w:val="0"/>
    <w:rPr>
      <w:kern w:val="2"/>
      <w:sz w:val="18"/>
      <w:szCs w:val="18"/>
    </w:rPr>
  </w:style>
  <w:style w:type="paragraph" w:customStyle="1" w:styleId="25">
    <w:name w:val="样式3"/>
    <w:basedOn w:val="1"/>
    <w:autoRedefine/>
    <w:qFormat/>
    <w:uiPriority w:val="0"/>
    <w:pPr>
      <w:snapToGrid w:val="0"/>
      <w:spacing w:line="360" w:lineRule="auto"/>
      <w:jc w:val="center"/>
    </w:pPr>
    <w:rPr>
      <w:rFonts w:ascii="方正小标宋简体" w:eastAsia="方正小标宋简体"/>
      <w:sz w:val="44"/>
      <w:szCs w:val="44"/>
    </w:rPr>
  </w:style>
  <w:style w:type="paragraph" w:styleId="26">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esktop\&#25919;&#24220;&#30003;&#25253;&#25991;&#20214;&#34920;&#26684;\file:\C:\Users\Administrator\AppData\Roaming\kingsoft\office6\templates\download\131bb1941c2cbddf1984e2ad787a753a\&#26524;&#34092;&#22823;&#26842;&#25215;&#21253;&#21512;&#21516;.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果蔬大棚承包合同.docx</Template>
  <Pages>9</Pages>
  <Words>3814</Words>
  <Characters>3994</Characters>
  <Paragraphs>158</Paragraphs>
  <TotalTime>3</TotalTime>
  <ScaleCrop>false</ScaleCrop>
  <LinksUpToDate>false</LinksUpToDate>
  <CharactersWithSpaces>4215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2023-07-19T04:04:00Z</dcterms:created>
  <dc:creator>文档存本地丢失不负责</dc:creator>
  <cp:lastModifiedBy>S</cp:lastModifiedBy>
  <cp:lastPrinted>2023-09-14T08:47:00Z</cp:lastPrinted>
  <dcterms:modified xsi:type="dcterms:W3CDTF">2025-07-25T01:55:39Z</dcterms:modified>
  <dc:title>上海市市场监督管理局 上海市农业农村委员会</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F8404F0C493F43248AAA85955880E3F7_13</vt:lpwstr>
  </property>
  <property fmtid="{D5CDD505-2E9C-101B-9397-08002B2CF9AE}" pid="4" name="KSOTemplateUUID">
    <vt:lpwstr>v1.0_mb_hJrzumNf4WhlxgNjTkRlMw==</vt:lpwstr>
  </property>
  <property fmtid="{D5CDD505-2E9C-101B-9397-08002B2CF9AE}" pid="5" name="KSOTemplateDocerSaveRecord">
    <vt:lpwstr>eyJoZGlkIjoiYjM4ODQ0ZTM0MjE5MzdhZDA0ZjliYTQ5Mzc3NDkzYzIiLCJ1c2VySWQiOiIzMzkyNjkxODIifQ==</vt:lpwstr>
  </property>
</Properties>
</file>