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B884B">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BE4AD9D">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4685ACF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6ADEFA0">
      <w:pPr>
        <w:pStyle w:val="5"/>
        <w:ind w:firstLine="0"/>
        <w:jc w:val="left"/>
        <w:rPr>
          <w:rFonts w:ascii="仿宋_GB2312" w:hAnsi="仿宋_GB2312" w:eastAsia="仿宋_GB2312" w:cs="仿宋_GB2312"/>
          <w:color w:val="000000"/>
          <w:sz w:val="30"/>
          <w:szCs w:val="30"/>
        </w:rPr>
      </w:pPr>
    </w:p>
    <w:p w14:paraId="5B2EA6C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3D194CC">
      <w:pPr>
        <w:pStyle w:val="5"/>
        <w:ind w:firstLine="0"/>
        <w:jc w:val="left"/>
        <w:rPr>
          <w:rFonts w:ascii="仿宋_GB2312" w:hAnsi="仿宋_GB2312" w:eastAsia="仿宋_GB2312" w:cs="仿宋_GB2312"/>
          <w:color w:val="000000"/>
          <w:sz w:val="30"/>
          <w:szCs w:val="30"/>
        </w:rPr>
      </w:pPr>
    </w:p>
    <w:p w14:paraId="1493C0AE">
      <w:pPr>
        <w:pStyle w:val="5"/>
        <w:jc w:val="left"/>
        <w:rPr>
          <w:rFonts w:ascii="仿宋_GB2312" w:hAnsi="仿宋_GB2312" w:eastAsia="仿宋_GB2312" w:cs="仿宋_GB2312"/>
          <w:color w:val="000000"/>
          <w:sz w:val="30"/>
          <w:szCs w:val="30"/>
        </w:rPr>
      </w:pPr>
    </w:p>
    <w:p w14:paraId="026FDB96">
      <w:pPr>
        <w:pStyle w:val="5"/>
        <w:jc w:val="left"/>
        <w:rPr>
          <w:rFonts w:ascii="仿宋_GB2312" w:hAnsi="仿宋_GB2312" w:eastAsia="仿宋_GB2312" w:cs="仿宋_GB2312"/>
          <w:color w:val="000000"/>
          <w:sz w:val="30"/>
          <w:szCs w:val="30"/>
        </w:rPr>
      </w:pPr>
    </w:p>
    <w:p w14:paraId="489FB14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83CB3D4">
      <w:pPr>
        <w:pStyle w:val="5"/>
        <w:ind w:firstLine="0"/>
        <w:jc w:val="left"/>
        <w:rPr>
          <w:rFonts w:ascii="仿宋_GB2312" w:hAnsi="仿宋_GB2312" w:eastAsia="仿宋_GB2312" w:cs="仿宋_GB2312"/>
          <w:color w:val="000000"/>
          <w:sz w:val="30"/>
          <w:szCs w:val="30"/>
        </w:rPr>
      </w:pPr>
    </w:p>
    <w:p w14:paraId="462033A7">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018AAE7C">
      <w:pPr>
        <w:pStyle w:val="5"/>
        <w:jc w:val="left"/>
        <w:rPr>
          <w:rFonts w:ascii="仿宋_GB2312" w:hAnsi="仿宋_GB2312" w:eastAsia="仿宋_GB2312" w:cs="仿宋_GB2312"/>
          <w:color w:val="000000"/>
          <w:sz w:val="30"/>
          <w:szCs w:val="30"/>
        </w:rPr>
      </w:pPr>
    </w:p>
    <w:p w14:paraId="39CA8D9C">
      <w:pPr>
        <w:pStyle w:val="5"/>
        <w:jc w:val="left"/>
        <w:rPr>
          <w:rFonts w:ascii="仿宋_GB2312" w:hAnsi="仿宋_GB2312" w:eastAsia="仿宋_GB2312" w:cs="仿宋_GB2312"/>
          <w:color w:val="000000"/>
          <w:sz w:val="30"/>
          <w:szCs w:val="30"/>
        </w:rPr>
      </w:pPr>
    </w:p>
    <w:p w14:paraId="0CAE586F">
      <w:pPr>
        <w:pStyle w:val="5"/>
        <w:jc w:val="left"/>
        <w:rPr>
          <w:rFonts w:ascii="仿宋_GB2312" w:hAnsi="仿宋_GB2312" w:eastAsia="仿宋_GB2312" w:cs="仿宋_GB2312"/>
          <w:color w:val="000000"/>
          <w:sz w:val="30"/>
          <w:szCs w:val="30"/>
        </w:rPr>
      </w:pPr>
    </w:p>
    <w:p w14:paraId="3A686B36">
      <w:pPr>
        <w:pStyle w:val="5"/>
        <w:jc w:val="left"/>
        <w:rPr>
          <w:rFonts w:ascii="仿宋_GB2312" w:hAnsi="仿宋_GB2312" w:eastAsia="仿宋_GB2312" w:cs="仿宋_GB2312"/>
          <w:color w:val="000000"/>
          <w:sz w:val="30"/>
          <w:szCs w:val="30"/>
        </w:rPr>
      </w:pPr>
    </w:p>
    <w:p w14:paraId="4C28B08A">
      <w:pPr>
        <w:pStyle w:val="5"/>
        <w:jc w:val="left"/>
        <w:rPr>
          <w:rFonts w:ascii="仿宋_GB2312" w:hAnsi="仿宋_GB2312" w:eastAsia="仿宋_GB2312" w:cs="仿宋_GB2312"/>
          <w:color w:val="000000"/>
          <w:sz w:val="30"/>
          <w:szCs w:val="30"/>
        </w:rPr>
      </w:pPr>
    </w:p>
    <w:p w14:paraId="66F4DDBF">
      <w:pPr>
        <w:pStyle w:val="5"/>
        <w:jc w:val="left"/>
        <w:rPr>
          <w:rFonts w:ascii="仿宋_GB2312" w:hAnsi="仿宋_GB2312" w:eastAsia="仿宋_GB2312" w:cs="仿宋_GB2312"/>
          <w:color w:val="000000"/>
          <w:sz w:val="30"/>
          <w:szCs w:val="30"/>
        </w:rPr>
      </w:pPr>
    </w:p>
    <w:p w14:paraId="79547036">
      <w:pPr>
        <w:pStyle w:val="5"/>
        <w:jc w:val="left"/>
        <w:rPr>
          <w:rFonts w:ascii="仿宋_GB2312" w:hAnsi="仿宋_GB2312" w:eastAsia="仿宋_GB2312" w:cs="仿宋_GB2312"/>
          <w:color w:val="000000"/>
          <w:sz w:val="30"/>
          <w:szCs w:val="30"/>
        </w:rPr>
      </w:pPr>
    </w:p>
    <w:p w14:paraId="60360591">
      <w:pPr>
        <w:pStyle w:val="5"/>
        <w:jc w:val="left"/>
        <w:rPr>
          <w:rFonts w:ascii="仿宋_GB2312" w:hAnsi="仿宋_GB2312" w:eastAsia="仿宋_GB2312" w:cs="仿宋_GB2312"/>
          <w:color w:val="000000"/>
          <w:sz w:val="30"/>
          <w:szCs w:val="30"/>
        </w:rPr>
      </w:pPr>
    </w:p>
    <w:p w14:paraId="2BA124EB">
      <w:pPr>
        <w:jc w:val="left"/>
        <w:sectPr>
          <w:pgSz w:w="11906" w:h="16838"/>
          <w:pgMar w:top="1440" w:right="1800" w:bottom="1440" w:left="1800" w:header="851" w:footer="992" w:gutter="0"/>
          <w:pgNumType w:fmt="decimal"/>
          <w:cols w:space="425" w:num="1"/>
          <w:docGrid w:type="lines" w:linePitch="312" w:charSpace="0"/>
        </w:sectPr>
      </w:pPr>
    </w:p>
    <w:p w14:paraId="69A6F097">
      <w:pPr>
        <w:pStyle w:val="3"/>
        <w:spacing w:line="240" w:lineRule="auto"/>
        <w:rPr>
          <w:rFonts w:ascii="黑体" w:hAnsi="黑体"/>
          <w:color w:val="000000"/>
        </w:rPr>
      </w:pPr>
      <w:bookmarkStart w:id="1" w:name="_Toc20910"/>
      <w:bookmarkStart w:id="2" w:name="_Toc15737"/>
      <w:bookmarkStart w:id="3" w:name="_Toc11918"/>
      <w:bookmarkStart w:id="4" w:name="_Toc24454"/>
      <w:bookmarkStart w:id="5" w:name="_Toc21422"/>
      <w:bookmarkStart w:id="6" w:name="_Toc32320"/>
      <w:bookmarkStart w:id="7" w:name="_Toc21762"/>
      <w:bookmarkStart w:id="8" w:name="_Toc24068"/>
      <w:bookmarkStart w:id="9" w:name="_Toc7615"/>
      <w:bookmarkStart w:id="10" w:name="_Toc29002"/>
      <w:bookmarkStart w:id="11" w:name="_Toc13462"/>
      <w:bookmarkStart w:id="12" w:name="_Toc24727"/>
      <w:bookmarkStart w:id="13" w:name="_Toc20033"/>
      <w:bookmarkStart w:id="14" w:name="_Toc25712"/>
      <w:bookmarkStart w:id="15" w:name="_Toc8396"/>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374AADE1">
      <w:pPr>
        <w:jc w:val="left"/>
        <w:outlineLvl w:val="0"/>
        <w:rPr>
          <w:rFonts w:ascii="新宋体" w:hAnsi="新宋体" w:eastAsia="新宋体"/>
          <w:sz w:val="28"/>
          <w:szCs w:val="28"/>
        </w:rPr>
      </w:pPr>
      <w:r>
        <w:rPr>
          <w:rFonts w:hint="eastAsia" w:ascii="新宋体" w:hAnsi="新宋体" w:eastAsia="新宋体"/>
          <w:b/>
          <w:bCs/>
          <w:color w:val="C00000"/>
          <w:sz w:val="28"/>
          <w:szCs w:val="28"/>
          <w:u w:val="none"/>
          <w:lang w:val="en-US" w:eastAsia="zh-CN"/>
        </w:rPr>
        <w:t>一、</w:t>
      </w:r>
      <w:r>
        <w:rPr>
          <w:rFonts w:hint="eastAsia" w:ascii="新宋体" w:hAnsi="新宋体" w:eastAsia="新宋体"/>
          <w:b/>
          <w:bCs/>
          <w:color w:val="C00000"/>
          <w:sz w:val="28"/>
          <w:szCs w:val="28"/>
          <w:u w:val="single"/>
          <w:lang w:val="en-US" w:eastAsia="zh-CN"/>
        </w:rPr>
        <w:t>琼中县营根镇海榆中线办公综合楼一层4号、5号、6号、7号商铺121.8平方米整包出租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中心农村</w:t>
      </w:r>
      <w:r>
        <w:rPr>
          <w:rFonts w:hint="eastAsia" w:ascii="新宋体" w:hAnsi="新宋体" w:eastAsia="新宋体"/>
          <w:sz w:val="28"/>
          <w:szCs w:val="28"/>
        </w:rPr>
        <w:t>产权交易规则（试行）》《</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6D346CC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331F5043">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琼中</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服务平台（https://qiongzhong.nongjiao.com，以下简称“平台”）为指定的交易平台，竞买方应通过平台参与标的竞拍活动。</w:t>
      </w:r>
    </w:p>
    <w:p w14:paraId="0D7997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EEBC18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7AC6EC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679F283B">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01EC13B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6415"/>
      </w:tblGrid>
      <w:tr w14:paraId="6D5D0B5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849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9A9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229AF0D2">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B10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C6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海南农村商业银行股份有限公司琼中支行</w:t>
            </w:r>
          </w:p>
        </w:tc>
      </w:tr>
      <w:tr w14:paraId="2ACBF2C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3CA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4D3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8318A1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D7A88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1CB154F">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12B7B5C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FF0000"/>
          <w:sz w:val="28"/>
          <w:szCs w:val="28"/>
          <w:u w:val="single"/>
          <w:lang w:val="en-US" w:eastAsia="zh-CN"/>
        </w:rPr>
        <w:t>89328</w:t>
      </w:r>
      <w:r>
        <w:rPr>
          <w:rFonts w:hint="eastAsia" w:ascii="新宋体" w:hAnsi="新宋体" w:eastAsia="新宋体" w:cs="Times New Roman"/>
          <w:b/>
          <w:bCs/>
          <w:sz w:val="28"/>
          <w:szCs w:val="28"/>
          <w:lang w:val="en-US" w:eastAsia="zh-CN"/>
        </w:rPr>
        <w:t>元/年。</w:t>
      </w:r>
    </w:p>
    <w:p w14:paraId="29436AE8">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w:t>
      </w:r>
      <w:r>
        <w:rPr>
          <w:rFonts w:hint="eastAsia" w:ascii="新宋体" w:hAnsi="新宋体" w:eastAsia="新宋体" w:cs="Times New Roman"/>
          <w:sz w:val="28"/>
          <w:szCs w:val="28"/>
          <w:lang w:eastAsia="zh-CN"/>
        </w:rPr>
        <w:t>。</w:t>
      </w:r>
    </w:p>
    <w:p w14:paraId="68EAB06C">
      <w:pPr>
        <w:pStyle w:val="2"/>
        <w:numPr>
          <w:ilvl w:val="0"/>
          <w:numId w:val="0"/>
        </w:num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竞买方接受出租（转让）方确定的交易条件，通过平台的网络竞价系统进行动态递增（减）报价，将报价最高者确定为承租（受让）方的竞价方式（反向竞价以报价最低者确定为承租（受让）方）。</w:t>
      </w:r>
    </w:p>
    <w:p w14:paraId="1CCE7BC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lang w:val="en-US" w:eastAsia="zh-CN"/>
        </w:rPr>
        <w:t>5</w:t>
      </w:r>
      <w:r>
        <w:rPr>
          <w:rFonts w:hint="eastAsia" w:ascii="新宋体" w:hAnsi="新宋体" w:eastAsia="新宋体" w:cs="Times New Roman"/>
          <w:color w:val="FF0000"/>
          <w:sz w:val="28"/>
          <w:szCs w:val="28"/>
          <w:u w:val="single"/>
        </w:rPr>
        <w:t>0</w:t>
      </w:r>
      <w:r>
        <w:rPr>
          <w:rFonts w:hint="eastAsia" w:ascii="新宋体" w:hAnsi="新宋体" w:eastAsia="新宋体" w:cs="Times New Roman"/>
          <w:color w:val="FF0000"/>
          <w:sz w:val="28"/>
          <w:szCs w:val="28"/>
          <w:u w:val="single"/>
          <w:lang w:val="en-US" w:eastAsia="zh-CN"/>
        </w:rPr>
        <w:t>0</w:t>
      </w:r>
      <w:r>
        <w:rPr>
          <w:rFonts w:hint="eastAsia" w:ascii="新宋体" w:hAnsi="新宋体" w:eastAsia="新宋体" w:cs="Times New Roman"/>
          <w:sz w:val="28"/>
          <w:szCs w:val="28"/>
        </w:rPr>
        <w:t>元的整数倍（至少100元）。</w:t>
      </w:r>
    </w:p>
    <w:p w14:paraId="7C14CBDE">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2A5CFEC">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FF0000"/>
          <w:sz w:val="28"/>
          <w:szCs w:val="28"/>
          <w:u w:val="single"/>
        </w:rPr>
        <w:t>202</w:t>
      </w:r>
      <w:r>
        <w:rPr>
          <w:rFonts w:hint="eastAsia" w:ascii="新宋体" w:hAnsi="新宋体" w:eastAsia="新宋体" w:cs="Times New Roman"/>
          <w:b/>
          <w:bCs/>
          <w:color w:val="FF0000"/>
          <w:sz w:val="28"/>
          <w:szCs w:val="28"/>
          <w:u w:val="single"/>
          <w:lang w:val="en-US" w:eastAsia="zh-CN"/>
        </w:rPr>
        <w:t>5</w:t>
      </w:r>
      <w:r>
        <w:rPr>
          <w:rFonts w:hint="eastAsia" w:ascii="新宋体" w:hAnsi="新宋体" w:eastAsia="新宋体" w:cs="Times New Roman"/>
          <w:b/>
          <w:bCs/>
          <w:color w:val="FF0000"/>
          <w:sz w:val="28"/>
          <w:szCs w:val="28"/>
          <w:u w:val="single"/>
        </w:rPr>
        <w:t>-</w:t>
      </w:r>
      <w:r>
        <w:rPr>
          <w:rFonts w:hint="eastAsia" w:ascii="新宋体" w:hAnsi="新宋体" w:eastAsia="新宋体" w:cs="Times New Roman"/>
          <w:b/>
          <w:bCs/>
          <w:color w:val="FF0000"/>
          <w:sz w:val="28"/>
          <w:szCs w:val="28"/>
          <w:u w:val="single"/>
          <w:lang w:val="en-US" w:eastAsia="zh-CN"/>
        </w:rPr>
        <w:t xml:space="preserve">08-12  </w:t>
      </w:r>
      <w:r>
        <w:rPr>
          <w:rFonts w:hint="eastAsia" w:ascii="新宋体" w:hAnsi="新宋体" w:eastAsia="新宋体" w:cs="Times New Roman"/>
          <w:b/>
          <w:bCs/>
          <w:color w:val="FF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7832A66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8C472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1AD42BA2">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1E0DE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370F1C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3FD84CD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228913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1DEBAC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7D332B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F3C86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8B1F8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1B745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8FD5F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5A394AE5">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4CCFA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EE0D7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765263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C81AE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7492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6E7A7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B5C2EE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2BA82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21C60B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02C3E9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3B92C56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2B112D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6D86B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56DF00D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5F9075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8D184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07D5B7C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47A7EB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2ABDFB7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D386A1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680E0B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AEC48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E6554C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8797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772A0A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9738F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4AEF6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057F871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A6E0B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9639ED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35681E6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B92A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4AD432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7992A8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A9C3C0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37F108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F2165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739BB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36A8E25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1E08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63D5F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623D8E3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75F94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823A8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DB6868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7442FF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64CB5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8D708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219B91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41E83BA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8E7925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76749F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1A558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70E69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1B13CC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1EE15F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79B1C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39C7022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3AF3765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7BCF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D0E04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73CE58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FD394E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0E015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1C3A3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9D58FD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EC3A3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199049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541"/>
      </w:tblGrid>
      <w:tr w14:paraId="32C3E12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15F48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0AC41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528D4D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C7BBC3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DB5F69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海南农村商业银行股份有限公司琼中支行</w:t>
            </w:r>
          </w:p>
        </w:tc>
      </w:tr>
      <w:tr w14:paraId="6F70B9F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0DE37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CC2405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A885D64">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rPr>
        <w:fldChar w:fldCharType="begin"/>
      </w:r>
      <w:r>
        <w:rPr>
          <w:rFonts w:hint="eastAsia" w:ascii="新宋体" w:hAnsi="新宋体" w:eastAsia="新宋体" w:cs="Times New Roman"/>
          <w:sz w:val="28"/>
          <w:szCs w:val="28"/>
        </w:rPr>
        <w:instrText xml:space="preserve"> HYPERLINK "https://qiongzhong.nongjiao.com/info/46880" \o "琼中农村产权交易中心交易保证金操作规则（试行）" </w:instrText>
      </w:r>
      <w:r>
        <w:rPr>
          <w:rFonts w:hint="eastAsia" w:ascii="新宋体" w:hAnsi="新宋体" w:eastAsia="新宋体" w:cs="Times New Roman"/>
          <w:sz w:val="28"/>
          <w:szCs w:val="28"/>
        </w:rPr>
        <w:fldChar w:fldCharType="separate"/>
      </w:r>
      <w:r>
        <w:rPr>
          <w:rFonts w:hint="eastAsia" w:ascii="新宋体" w:hAnsi="新宋体" w:eastAsia="新宋体" w:cs="Times New Roman"/>
          <w:sz w:val="28"/>
          <w:szCs w:val="28"/>
        </w:rPr>
        <w:t>琼中农村产权交易中心交易保证金操作规则（试行）</w:t>
      </w:r>
      <w:r>
        <w:rPr>
          <w:rFonts w:hint="eastAsia" w:ascii="新宋体" w:hAnsi="新宋体" w:eastAsia="新宋体" w:cs="Times New Roman"/>
          <w:sz w:val="28"/>
          <w:szCs w:val="28"/>
        </w:rPr>
        <w:fldChar w:fldCharType="end"/>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27AFDA5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A732F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2C0902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F7D5E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220390F7">
      <w:pPr>
        <w:pStyle w:val="10"/>
        <w:ind w:left="2250" w:hanging="1200"/>
      </w:pPr>
    </w:p>
    <w:p w14:paraId="64BE83CD"/>
    <w:p w14:paraId="4FABB699">
      <w:pPr>
        <w:pStyle w:val="5"/>
      </w:pPr>
    </w:p>
    <w:p w14:paraId="3F01258A">
      <w:pPr>
        <w:spacing w:line="520" w:lineRule="exact"/>
      </w:pPr>
      <w:r>
        <w:rPr>
          <w:rFonts w:hint="eastAsia" w:ascii="Times New Roman" w:hAnsi="Times New Roman"/>
          <w:sz w:val="32"/>
          <w:szCs w:val="32"/>
        </w:rPr>
        <w:t>已详细阅读此竞价须知，对此竞价须知无异议。</w:t>
      </w:r>
    </w:p>
    <w:p w14:paraId="3F394389">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6B03A66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8D15547">
      <w:pPr>
        <w:pStyle w:val="3"/>
        <w:spacing w:line="240" w:lineRule="auto"/>
        <w:rPr>
          <w:rFonts w:ascii="黑体" w:hAnsi="黑体"/>
          <w:color w:val="000000"/>
        </w:rPr>
      </w:pPr>
    </w:p>
    <w:p w14:paraId="76F4A743">
      <w:pPr>
        <w:pStyle w:val="3"/>
        <w:spacing w:line="240" w:lineRule="auto"/>
        <w:jc w:val="both"/>
        <w:rPr>
          <w:rFonts w:ascii="黑体" w:hAnsi="黑体"/>
          <w:color w:val="000000"/>
        </w:rPr>
      </w:pPr>
    </w:p>
    <w:p w14:paraId="19CF6776">
      <w:pPr>
        <w:rPr>
          <w:rFonts w:ascii="黑体" w:hAnsi="黑体"/>
          <w:color w:val="000000"/>
        </w:rPr>
      </w:pPr>
    </w:p>
    <w:p w14:paraId="6032E761">
      <w:pPr>
        <w:pStyle w:val="3"/>
        <w:spacing w:line="240" w:lineRule="auto"/>
        <w:jc w:val="both"/>
        <w:rPr>
          <w:rFonts w:ascii="黑体" w:hAnsi="黑体"/>
          <w:color w:val="000000"/>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4D9274FA">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83F1F3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fldChar w:fldCharType="begin"/>
      </w:r>
      <w:r>
        <w:rPr>
          <w:rFonts w:hint="eastAsia" w:ascii="Times New Roman" w:hAnsi="Times New Roman"/>
          <w:sz w:val="28"/>
          <w:szCs w:val="28"/>
        </w:rPr>
        <w:instrText xml:space="preserve"> HYPERLINK "https://qiongzhong.nongjiao.com/info/46880" \o "琼中农村产权交易中心交易保证金操作规则（试行）" </w:instrText>
      </w:r>
      <w:r>
        <w:rPr>
          <w:rFonts w:hint="eastAsia" w:ascii="Times New Roman" w:hAnsi="Times New Roman"/>
          <w:sz w:val="28"/>
          <w:szCs w:val="28"/>
        </w:rPr>
        <w:fldChar w:fldCharType="separate"/>
      </w:r>
      <w:r>
        <w:rPr>
          <w:rFonts w:hint="eastAsia" w:ascii="Times New Roman" w:hAnsi="Times New Roman"/>
          <w:sz w:val="28"/>
          <w:szCs w:val="28"/>
        </w:rPr>
        <w:t>琼中农村产权交易中心</w:t>
      </w:r>
      <w:r>
        <w:rPr>
          <w:rFonts w:hint="eastAsia" w:ascii="Times New Roman" w:hAnsi="Times New Roman"/>
          <w:sz w:val="28"/>
          <w:szCs w:val="28"/>
        </w:rPr>
        <w:fldChar w:fldCharType="end"/>
      </w:r>
      <w:r>
        <w:rPr>
          <w:rFonts w:hint="eastAsia" w:ascii="Times New Roman" w:hAnsi="Times New Roman"/>
          <w:sz w:val="28"/>
          <w:szCs w:val="28"/>
        </w:rPr>
        <w:t>：</w:t>
      </w:r>
    </w:p>
    <w:p w14:paraId="6635DDB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琼中县营根镇海榆中线办公综合楼一层4号、5号、6号、7号商铺121.8平方米整包出租</w:t>
      </w:r>
      <w:r>
        <w:rPr>
          <w:rFonts w:ascii="Times New Roman" w:hAnsi="Times New Roman"/>
          <w:sz w:val="28"/>
          <w:szCs w:val="28"/>
        </w:rPr>
        <w:t>”</w:t>
      </w:r>
      <w:r>
        <w:rPr>
          <w:rFonts w:hint="eastAsia" w:ascii="Times New Roman" w:hAnsi="Times New Roman"/>
          <w:sz w:val="28"/>
          <w:szCs w:val="28"/>
        </w:rPr>
        <w:t>项目网络竞价活动作出如下承诺：</w:t>
      </w:r>
    </w:p>
    <w:p w14:paraId="48FF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琼中县营根镇海榆中线办公综合楼一层4号、5号、6号、7号商铺121.8平方米整包出租</w:t>
      </w:r>
      <w:r>
        <w:rPr>
          <w:rFonts w:ascii="Times New Roman" w:hAnsi="Times New Roman"/>
          <w:sz w:val="28"/>
          <w:szCs w:val="28"/>
        </w:rPr>
        <w:t>”</w:t>
      </w:r>
      <w:r>
        <w:rPr>
          <w:rFonts w:hint="eastAsia" w:ascii="Times New Roman" w:hAnsi="Times New Roman"/>
          <w:sz w:val="28"/>
          <w:szCs w:val="28"/>
        </w:rPr>
        <w:t>项目网络竞价活动，并参与报价。</w:t>
      </w:r>
    </w:p>
    <w:p w14:paraId="345BD8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琼中县营根镇海榆中线办公综合楼一层4号、5号、6号、7号商铺121.8平方米整包出租</w:t>
      </w:r>
      <w:r>
        <w:rPr>
          <w:rFonts w:ascii="Times New Roman" w:hAnsi="Times New Roman"/>
          <w:sz w:val="28"/>
          <w:szCs w:val="28"/>
        </w:rPr>
        <w:t>”</w:t>
      </w:r>
      <w:r>
        <w:rPr>
          <w:rFonts w:hint="eastAsia" w:ascii="Times New Roman" w:hAnsi="Times New Roman"/>
          <w:sz w:val="28"/>
          <w:szCs w:val="28"/>
        </w:rPr>
        <w:t>项目和</w:t>
      </w:r>
      <w:r>
        <w:rPr>
          <w:rFonts w:hint="eastAsia" w:ascii="Times New Roman" w:hAnsi="Times New Roman"/>
          <w:sz w:val="28"/>
          <w:szCs w:val="28"/>
          <w:lang w:eastAsia="zh-CN"/>
        </w:rPr>
        <w:t>《</w:t>
      </w:r>
      <w:r>
        <w:rPr>
          <w:rFonts w:hint="eastAsia" w:ascii="Times New Roman" w:hAnsi="Times New Roman"/>
          <w:sz w:val="28"/>
          <w:szCs w:val="28"/>
          <w:lang w:val="en-US" w:eastAsia="zh-CN"/>
        </w:rPr>
        <w:t>琼中黎族苗族自治县</w:t>
      </w:r>
      <w:r>
        <w:rPr>
          <w:rFonts w:hint="eastAsia" w:ascii="Times New Roman" w:hAnsi="Times New Roman"/>
          <w:sz w:val="28"/>
          <w:szCs w:val="28"/>
        </w:rPr>
        <w:t>农村产权交易中心网络竞价实施办法（试行）</w:t>
      </w:r>
      <w:r>
        <w:rPr>
          <w:rFonts w:hint="eastAsia" w:ascii="新宋体" w:hAnsi="新宋体" w:eastAsia="新宋体"/>
          <w:sz w:val="28"/>
          <w:szCs w:val="28"/>
        </w:rPr>
        <w:t>》《</w:t>
      </w:r>
      <w:r>
        <w:rPr>
          <w:rFonts w:hint="eastAsia" w:ascii="Times New Roman" w:hAnsi="Times New Roman"/>
          <w:sz w:val="28"/>
          <w:szCs w:val="28"/>
        </w:rPr>
        <w:t>网络竞价须知》已充分了解，并自愿遵守文件中的相关规定。</w:t>
      </w:r>
    </w:p>
    <w:p w14:paraId="6AF293B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w:t>
      </w:r>
      <w:r>
        <w:rPr>
          <w:rFonts w:hint="eastAsia" w:ascii="新宋体" w:hAnsi="新宋体" w:eastAsia="新宋体" w:cs="Times New Roman"/>
          <w:sz w:val="28"/>
          <w:szCs w:val="28"/>
        </w:rPr>
        <w:t>农村产权交易服务平台（http://hainan.nongjiao.com，以下简称“平台”）</w:t>
      </w:r>
      <w:r>
        <w:rPr>
          <w:rFonts w:hint="eastAsia" w:ascii="Times New Roman" w:hAnsi="Times New Roman"/>
          <w:sz w:val="28"/>
          <w:szCs w:val="28"/>
        </w:rPr>
        <w:t>无关。</w:t>
      </w:r>
    </w:p>
    <w:p w14:paraId="5E878CA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650375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w:t>
      </w:r>
      <w:r>
        <w:rPr>
          <w:rFonts w:hint="eastAsia" w:ascii="Times New Roman" w:hAnsi="Times New Roman"/>
          <w:sz w:val="28"/>
          <w:szCs w:val="28"/>
        </w:rPr>
        <w:t>农村产权交易服务平台书面通知要求与出租（转让）方签署交易合同，并按《产权交易结算通知书》的约定支付交易价款。</w:t>
      </w:r>
    </w:p>
    <w:p w14:paraId="2D6725C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7F21594">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CEBE333">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6EDA5E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DEB0C7D">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CD0384E">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FABA0D">
      <w:pPr>
        <w:rPr>
          <w:rFonts w:ascii="仿宋_GB2312" w:hAnsi="仿宋_GB2312" w:eastAsia="仿宋_GB2312" w:cs="仿宋_GB2312"/>
          <w:color w:val="000000"/>
          <w:sz w:val="36"/>
          <w:szCs w:val="30"/>
        </w:rPr>
      </w:pPr>
    </w:p>
    <w:p w14:paraId="7080E52E">
      <w:pPr>
        <w:rPr>
          <w:rFonts w:ascii="仿宋_GB2312" w:hAnsi="仿宋_GB2312" w:eastAsia="仿宋_GB2312" w:cs="仿宋_GB2312"/>
          <w:color w:val="000000"/>
          <w:sz w:val="30"/>
          <w:szCs w:val="30"/>
        </w:rPr>
      </w:pPr>
    </w:p>
    <w:p w14:paraId="36CDD3B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79179">
      <w:pPr>
        <w:rPr>
          <w:rFonts w:ascii="仿宋_GB2312" w:hAnsi="仿宋_GB2312" w:eastAsia="仿宋_GB2312" w:cs="仿宋_GB2312"/>
          <w:b/>
          <w:color w:val="000000"/>
          <w:sz w:val="30"/>
          <w:szCs w:val="30"/>
        </w:rPr>
      </w:pPr>
    </w:p>
    <w:p w14:paraId="59585591">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4A710E">
      <w:pPr>
        <w:rPr>
          <w:rFonts w:ascii="仿宋_GB2312" w:hAnsi="仿宋_GB2312" w:eastAsia="仿宋_GB2312" w:cs="仿宋_GB2312"/>
          <w:b/>
          <w:color w:val="000000"/>
          <w:sz w:val="30"/>
          <w:szCs w:val="30"/>
          <w:u w:val="single"/>
        </w:rPr>
      </w:pPr>
    </w:p>
    <w:p w14:paraId="7A56FEC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5BB4A9E">
      <w:pPr>
        <w:rPr>
          <w:rFonts w:ascii="仿宋_GB2312" w:hAnsi="仿宋_GB2312" w:eastAsia="仿宋_GB2312" w:cs="仿宋_GB2312"/>
          <w:color w:val="000000"/>
          <w:sz w:val="30"/>
          <w:szCs w:val="30"/>
        </w:rPr>
      </w:pPr>
    </w:p>
    <w:p w14:paraId="0073C273">
      <w:pPr>
        <w:rPr>
          <w:rFonts w:ascii="仿宋_GB2312" w:hAnsi="仿宋_GB2312" w:eastAsia="仿宋_GB2312" w:cs="仿宋_GB2312"/>
          <w:color w:val="000000"/>
          <w:sz w:val="30"/>
          <w:szCs w:val="30"/>
        </w:rPr>
      </w:pPr>
    </w:p>
    <w:p w14:paraId="2A15C4AD">
      <w:pPr>
        <w:rPr>
          <w:rFonts w:ascii="仿宋_GB2312" w:hAnsi="仿宋_GB2312" w:eastAsia="仿宋_GB2312" w:cs="仿宋_GB2312"/>
          <w:color w:val="000000"/>
          <w:sz w:val="30"/>
          <w:szCs w:val="30"/>
        </w:rPr>
      </w:pPr>
    </w:p>
    <w:p w14:paraId="7F95A21F">
      <w:pPr>
        <w:rPr>
          <w:rFonts w:ascii="仿宋_GB2312" w:hAnsi="仿宋_GB2312" w:eastAsia="仿宋_GB2312" w:cs="仿宋_GB2312"/>
          <w:color w:val="000000"/>
          <w:sz w:val="30"/>
          <w:szCs w:val="30"/>
        </w:rPr>
      </w:pPr>
    </w:p>
    <w:p w14:paraId="29800F3B">
      <w:pPr>
        <w:rPr>
          <w:rFonts w:ascii="仿宋_GB2312" w:hAnsi="仿宋_GB2312" w:eastAsia="仿宋_GB2312" w:cs="仿宋_GB2312"/>
          <w:color w:val="000000"/>
          <w:sz w:val="30"/>
          <w:szCs w:val="30"/>
        </w:rPr>
      </w:pPr>
    </w:p>
    <w:p w14:paraId="28E2D1EC">
      <w:pPr>
        <w:rPr>
          <w:rFonts w:ascii="仿宋_GB2312" w:hAnsi="仿宋_GB2312" w:eastAsia="仿宋_GB2312" w:cs="仿宋_GB2312"/>
          <w:color w:val="000000"/>
          <w:sz w:val="30"/>
          <w:szCs w:val="30"/>
        </w:rPr>
      </w:pPr>
    </w:p>
    <w:p w14:paraId="2724A8A2">
      <w:pPr>
        <w:rPr>
          <w:rFonts w:ascii="仿宋_GB2312" w:hAnsi="仿宋_GB2312" w:eastAsia="仿宋_GB2312" w:cs="仿宋_GB2312"/>
          <w:color w:val="000000"/>
          <w:sz w:val="30"/>
          <w:szCs w:val="30"/>
        </w:rPr>
      </w:pPr>
    </w:p>
    <w:p w14:paraId="75C74552">
      <w:pPr>
        <w:pStyle w:val="5"/>
      </w:pPr>
    </w:p>
    <w:p w14:paraId="0972CEE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6B00048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1AFD5F3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2845D80">
      <w:pPr>
        <w:pStyle w:val="3"/>
        <w:spacing w:line="400" w:lineRule="exact"/>
        <w:rPr>
          <w:rFonts w:ascii="仿宋" w:hAnsi="仿宋"/>
          <w:bCs/>
          <w:szCs w:val="36"/>
        </w:rPr>
      </w:pPr>
      <w:r>
        <w:rPr>
          <w:rFonts w:hint="eastAsia"/>
          <w:bCs/>
          <w:szCs w:val="36"/>
        </w:rPr>
        <w:t>意向承租（受让）函</w:t>
      </w:r>
    </w:p>
    <w:p w14:paraId="38D4707E">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048DA27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w:t>
      </w:r>
      <w:r>
        <w:rPr>
          <w:rFonts w:hint="eastAsia" w:ascii="Times New Roman" w:hAnsi="Times New Roman"/>
          <w:bCs/>
          <w:sz w:val="24"/>
        </w:rPr>
        <w:t>农村产权交易服务平台（http://hainan.nongjiao.com，以下简称“平台”）申请承租（受让）</w:t>
      </w:r>
      <w:r>
        <w:rPr>
          <w:rFonts w:hint="eastAsia" w:ascii="新宋体" w:hAnsi="新宋体" w:eastAsia="新宋体"/>
          <w:b/>
          <w:bCs/>
          <w:color w:val="C00000"/>
          <w:sz w:val="24"/>
          <w:szCs w:val="24"/>
          <w:u w:val="single"/>
          <w:lang w:val="en-US" w:eastAsia="zh-CN"/>
        </w:rPr>
        <w:t>琼中县营根镇海榆中线办公综合楼一层4号、5号、6号、7号商铺121.8平方米整包出租</w:t>
      </w:r>
      <w:r>
        <w:rPr>
          <w:rFonts w:hint="eastAsia" w:ascii="Times New Roman" w:hAnsi="Times New Roman"/>
          <w:bCs/>
          <w:sz w:val="24"/>
          <w:lang w:val="en-US" w:eastAsia="zh-CN"/>
        </w:rPr>
        <w:t>项目</w:t>
      </w:r>
      <w:r>
        <w:rPr>
          <w:rFonts w:hint="eastAsia" w:ascii="Times New Roman" w:hAnsi="Times New Roman"/>
          <w:bCs/>
          <w:sz w:val="24"/>
        </w:rPr>
        <w:t>，并承诺：</w:t>
      </w:r>
    </w:p>
    <w:p w14:paraId="0D088257">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3074FB8">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9A2C3CB">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2714BB8">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5B2943DD">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8D43D09">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DFD3A5B">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B9FD997">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A9BDF3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289DB9D">
      <w:pPr>
        <w:pStyle w:val="5"/>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琼中农村产权交易中心</w:t>
      </w:r>
      <w:r>
        <w:rPr>
          <w:rFonts w:hint="eastAsia" w:ascii="Times New Roman" w:hAnsi="Times New Roman"/>
          <w:b/>
          <w:sz w:val="24"/>
          <w:szCs w:val="24"/>
        </w:rPr>
        <w:t>。</w:t>
      </w:r>
      <w:bookmarkEnd w:id="20"/>
      <w:bookmarkEnd w:id="21"/>
      <w:bookmarkEnd w:id="22"/>
    </w:p>
    <w:p w14:paraId="19C8F97B">
      <w:pPr>
        <w:spacing w:line="312" w:lineRule="auto"/>
        <w:ind w:firstLine="3840" w:firstLineChars="1600"/>
        <w:rPr>
          <w:rFonts w:ascii="宋体" w:hAnsi="宋体" w:eastAsia="宋体" w:cs="宋体"/>
          <w:sz w:val="24"/>
        </w:rPr>
      </w:pPr>
    </w:p>
    <w:p w14:paraId="5ADE59AE">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3EDFF19F">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9237205">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6F11E50">
      <w:pPr>
        <w:pStyle w:val="3"/>
        <w:spacing w:line="240" w:lineRule="auto"/>
        <w:rPr>
          <w:rFonts w:ascii="黑体" w:hAnsi="黑体"/>
          <w:color w:val="000000"/>
        </w:rPr>
      </w:pPr>
      <w:bookmarkStart w:id="28" w:name="_Toc29841"/>
      <w:bookmarkStart w:id="29" w:name="_Toc14469"/>
      <w:bookmarkStart w:id="30" w:name="_Toc13094"/>
      <w:bookmarkStart w:id="31" w:name="_Toc12264"/>
      <w:bookmarkStart w:id="32" w:name="_Toc32101"/>
      <w:bookmarkStart w:id="33" w:name="_Toc4580"/>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17DEF86">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B7E9230">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3D4B62">
            <w:pPr>
              <w:pStyle w:val="2"/>
            </w:pPr>
          </w:p>
        </w:tc>
      </w:tr>
      <w:tr w14:paraId="71BF980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F13E91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5BE26A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193E4E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ECD294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7521DA7">
            <w:pPr>
              <w:spacing w:line="360" w:lineRule="auto"/>
              <w:rPr>
                <w:rFonts w:ascii="宋体" w:hAnsi="宋体" w:eastAsia="宋体"/>
                <w:sz w:val="22"/>
              </w:rPr>
            </w:pPr>
          </w:p>
        </w:tc>
      </w:tr>
      <w:tr w14:paraId="263A1A7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9C2E38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F9C94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39F4598">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0D552F7">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D0FD729">
            <w:pPr>
              <w:spacing w:line="360" w:lineRule="auto"/>
              <w:rPr>
                <w:rFonts w:ascii="宋体" w:hAnsi="宋体" w:eastAsia="宋体"/>
                <w:sz w:val="22"/>
              </w:rPr>
            </w:pPr>
          </w:p>
        </w:tc>
      </w:tr>
      <w:tr w14:paraId="6BC1CE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D52EF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5C977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31B6C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1B7AB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604653">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6210F6B">
            <w:pPr>
              <w:spacing w:line="360" w:lineRule="auto"/>
              <w:rPr>
                <w:rFonts w:ascii="宋体" w:hAnsi="宋体" w:eastAsia="宋体"/>
                <w:sz w:val="22"/>
              </w:rPr>
            </w:pPr>
          </w:p>
        </w:tc>
      </w:tr>
      <w:tr w14:paraId="319A8B5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2F067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5DB41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04892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6F55D05">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DE34EF0">
            <w:pPr>
              <w:spacing w:line="360" w:lineRule="auto"/>
              <w:rPr>
                <w:rFonts w:ascii="宋体" w:hAnsi="宋体" w:eastAsia="宋体"/>
                <w:sz w:val="22"/>
              </w:rPr>
            </w:pPr>
          </w:p>
        </w:tc>
      </w:tr>
      <w:tr w14:paraId="28CDCB0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6A1C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1F0B19">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C728E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CC80EC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BBAD127">
            <w:pPr>
              <w:spacing w:line="360" w:lineRule="auto"/>
              <w:rPr>
                <w:rFonts w:ascii="宋体" w:hAnsi="宋体" w:eastAsia="宋体"/>
                <w:sz w:val="22"/>
              </w:rPr>
            </w:pPr>
          </w:p>
        </w:tc>
      </w:tr>
      <w:tr w14:paraId="19DD0C0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B6A8D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8D336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F02686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5F734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EAD342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36597E6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BB54DE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4079A58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BC182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10491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ECEB4C4">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4FD41D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4DABCEB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341E986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D0D29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13803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EA14F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C5FAE8">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7B702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F3EB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C484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A47940">
            <w:pPr>
              <w:spacing w:line="360" w:lineRule="auto"/>
              <w:jc w:val="center"/>
              <w:rPr>
                <w:rFonts w:ascii="宋体" w:hAnsi="宋体" w:eastAsia="宋体"/>
                <w:sz w:val="22"/>
              </w:rPr>
            </w:pPr>
          </w:p>
        </w:tc>
      </w:tr>
      <w:tr w14:paraId="7B4302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9096BA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F329DA">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941F9F6">
            <w:pPr>
              <w:spacing w:line="360" w:lineRule="auto"/>
              <w:rPr>
                <w:rFonts w:ascii="宋体" w:hAnsi="宋体" w:eastAsia="宋体"/>
                <w:sz w:val="22"/>
              </w:rPr>
            </w:pPr>
          </w:p>
        </w:tc>
      </w:tr>
      <w:tr w14:paraId="0D3D9CC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BC51B9">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D56BA53">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CB5925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1766F2B">
            <w:pPr>
              <w:spacing w:line="360" w:lineRule="auto"/>
              <w:ind w:left="48"/>
              <w:rPr>
                <w:rFonts w:ascii="宋体" w:hAnsi="宋体" w:eastAsia="宋体"/>
                <w:sz w:val="22"/>
              </w:rPr>
            </w:pPr>
            <w:r>
              <w:rPr>
                <w:rFonts w:hint="eastAsia" w:ascii="宋体" w:hAnsi="宋体" w:eastAsia="宋体"/>
                <w:sz w:val="22"/>
              </w:rPr>
              <w:t>报表时间：</w:t>
            </w:r>
          </w:p>
        </w:tc>
      </w:tr>
      <w:tr w14:paraId="11E8EBA0">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F7B2C59">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1AEB0D">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6EBC9B5">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21E2C7B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B124291">
            <w:pPr>
              <w:pStyle w:val="17"/>
              <w:spacing w:line="360" w:lineRule="auto"/>
              <w:jc w:val="center"/>
            </w:pPr>
          </w:p>
          <w:p w14:paraId="491D2966"/>
        </w:tc>
        <w:tc>
          <w:tcPr>
            <w:tcW w:w="795" w:type="dxa"/>
            <w:gridSpan w:val="3"/>
            <w:tcBorders>
              <w:top w:val="single" w:color="auto" w:sz="4" w:space="0"/>
              <w:left w:val="single" w:color="auto" w:sz="4" w:space="0"/>
              <w:bottom w:val="single" w:color="auto" w:sz="4" w:space="0"/>
              <w:right w:val="single" w:color="auto" w:sz="4" w:space="0"/>
            </w:tcBorders>
            <w:vAlign w:val="center"/>
          </w:tcPr>
          <w:p w14:paraId="77A7B24D">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D599616">
            <w:pPr>
              <w:pStyle w:val="17"/>
              <w:spacing w:line="360" w:lineRule="auto"/>
              <w:jc w:val="center"/>
            </w:pPr>
          </w:p>
          <w:p w14:paraId="7B55AD2C">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707C3EA">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1D651CA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B30D708">
            <w:pPr>
              <w:pStyle w:val="17"/>
              <w:spacing w:line="360" w:lineRule="auto"/>
              <w:jc w:val="center"/>
              <w:rPr>
                <w:rFonts w:ascii="宋体" w:hAnsi="宋体" w:eastAsia="宋体"/>
                <w:sz w:val="22"/>
                <w:szCs w:val="24"/>
              </w:rPr>
            </w:pPr>
          </w:p>
        </w:tc>
      </w:tr>
      <w:tr w14:paraId="09EED0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ED1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C92DDF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784DF4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A7845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879E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2B5F74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611EF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1814C88">
            <w:pPr>
              <w:spacing w:line="360" w:lineRule="auto"/>
              <w:jc w:val="center"/>
              <w:rPr>
                <w:rFonts w:hint="default" w:ascii="宋体" w:hAnsi="宋体" w:eastAsia="宋体"/>
                <w:sz w:val="22"/>
                <w:lang w:val="en-US" w:eastAsia="zh-CN"/>
              </w:rPr>
            </w:pPr>
          </w:p>
        </w:tc>
      </w:tr>
      <w:tr w14:paraId="775ACC0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D6CA4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9D4D8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2CB3BA">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44D80A5">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C408F13">
            <w:pPr>
              <w:spacing w:line="360" w:lineRule="auto"/>
              <w:jc w:val="center"/>
              <w:rPr>
                <w:rFonts w:hint="default" w:ascii="宋体" w:hAnsi="宋体" w:eastAsia="宋体"/>
                <w:sz w:val="22"/>
                <w:lang w:val="en-US" w:eastAsia="zh-CN"/>
              </w:rPr>
            </w:pPr>
          </w:p>
        </w:tc>
      </w:tr>
      <w:tr w14:paraId="26C621E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CAF4E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3ED003">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3419C32">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D5F933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6C8470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07C93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03292B9">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171FFE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BAA8F2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F9B1110">
            <w:pPr>
              <w:spacing w:line="360" w:lineRule="auto"/>
              <w:rPr>
                <w:rFonts w:hint="eastAsia" w:ascii="宋体" w:hAnsi="宋体" w:eastAsia="宋体"/>
                <w:sz w:val="22"/>
                <w:lang w:val="en-US" w:eastAsia="zh-CN"/>
              </w:rPr>
            </w:pPr>
          </w:p>
        </w:tc>
      </w:tr>
      <w:tr w14:paraId="597A2C1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A1A928D">
            <w:pPr>
              <w:spacing w:line="360" w:lineRule="auto"/>
              <w:jc w:val="center"/>
              <w:rPr>
                <w:rFonts w:ascii="宋体" w:hAnsi="宋体" w:eastAsia="宋体"/>
                <w:bCs/>
                <w:sz w:val="22"/>
              </w:rPr>
            </w:pPr>
            <w:r>
              <w:rPr>
                <w:rFonts w:hint="eastAsia" w:ascii="宋体" w:hAnsi="宋体" w:eastAsia="宋体"/>
                <w:bCs/>
                <w:sz w:val="22"/>
              </w:rPr>
              <w:t>附件</w:t>
            </w:r>
          </w:p>
          <w:p w14:paraId="3688CA9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4B3EEC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0CD6B6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700FC31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FC32A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084BE6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14EC8E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3DB9B58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C0C43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A65EB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CC117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573FFC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DFE51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74F20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A811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8D485C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D9C8658">
            <w:pPr>
              <w:spacing w:line="360" w:lineRule="auto"/>
              <w:jc w:val="left"/>
              <w:rPr>
                <w:rFonts w:ascii="宋体" w:hAnsi="宋体" w:eastAsia="宋体"/>
                <w:sz w:val="22"/>
              </w:rPr>
            </w:pPr>
          </w:p>
        </w:tc>
      </w:tr>
      <w:tr w14:paraId="336BBD1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B827411">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B5D466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933C513">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BAB2226">
            <w:pPr>
              <w:spacing w:line="360" w:lineRule="auto"/>
              <w:jc w:val="left"/>
              <w:rPr>
                <w:rFonts w:ascii="宋体" w:hAnsi="宋体" w:eastAsia="宋体"/>
                <w:sz w:val="22"/>
              </w:rPr>
            </w:pPr>
          </w:p>
        </w:tc>
      </w:tr>
      <w:tr w14:paraId="4AB570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FDA73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D174AC">
            <w:pPr>
              <w:spacing w:line="360" w:lineRule="auto"/>
              <w:jc w:val="center"/>
              <w:rPr>
                <w:rFonts w:ascii="宋体" w:hAnsi="宋体" w:eastAsia="宋体"/>
                <w:bCs/>
                <w:sz w:val="22"/>
              </w:rPr>
            </w:pPr>
            <w:r>
              <w:rPr>
                <w:rFonts w:hint="eastAsia" w:ascii="宋体" w:hAnsi="宋体" w:eastAsia="宋体"/>
                <w:bCs/>
                <w:sz w:val="22"/>
              </w:rPr>
              <w:t>法人单位</w:t>
            </w:r>
          </w:p>
          <w:p w14:paraId="0ABC99A2">
            <w:pPr>
              <w:spacing w:line="360" w:lineRule="auto"/>
              <w:jc w:val="center"/>
              <w:rPr>
                <w:rFonts w:ascii="宋体" w:hAnsi="宋体" w:eastAsia="宋体"/>
                <w:bCs/>
                <w:sz w:val="22"/>
              </w:rPr>
            </w:pPr>
            <w:r>
              <w:rPr>
                <w:rFonts w:hint="eastAsia" w:ascii="宋体" w:hAnsi="宋体" w:eastAsia="宋体"/>
                <w:bCs/>
                <w:sz w:val="22"/>
              </w:rPr>
              <w:t>（如农业企业，</w:t>
            </w:r>
          </w:p>
          <w:p w14:paraId="626F503E">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AC3E8E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1974F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CC200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4287B7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68C1E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CA2D59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8B3E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9C28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73724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19196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E75D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9E9DB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6E4E1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1B4DCC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67D085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BF706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2FD98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BC364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9160FC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61E57E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E744E9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BC7D3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283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AB137C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9A1D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A7F9C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A18B4D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BBA9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AA3759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4F25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99AFF42">
            <w:pPr>
              <w:spacing w:line="360" w:lineRule="auto"/>
              <w:jc w:val="left"/>
              <w:rPr>
                <w:rFonts w:ascii="宋体" w:hAnsi="宋体" w:eastAsia="宋体"/>
                <w:sz w:val="22"/>
              </w:rPr>
            </w:pPr>
          </w:p>
        </w:tc>
      </w:tr>
      <w:tr w14:paraId="61BFFAD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C4CAF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6AFFF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62D38DC">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A2DECCB">
            <w:pPr>
              <w:spacing w:line="360" w:lineRule="auto"/>
              <w:jc w:val="left"/>
              <w:rPr>
                <w:rFonts w:ascii="宋体" w:hAnsi="宋体" w:eastAsia="宋体"/>
                <w:sz w:val="22"/>
              </w:rPr>
            </w:pPr>
          </w:p>
        </w:tc>
      </w:tr>
      <w:tr w14:paraId="421DA5F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950D0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D5D313A">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F796C05">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4B22BD">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8FE97A">
            <w:pPr>
              <w:spacing w:line="360" w:lineRule="auto"/>
              <w:rPr>
                <w:rFonts w:ascii="宋体" w:hAnsi="宋体" w:eastAsia="宋体"/>
                <w:sz w:val="22"/>
              </w:rPr>
            </w:pPr>
          </w:p>
        </w:tc>
      </w:tr>
      <w:tr w14:paraId="2C8F832F">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B52FE5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33D81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FD46B">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3238FBC">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DF7F54C">
            <w:pPr>
              <w:spacing w:line="360" w:lineRule="auto"/>
              <w:jc w:val="center"/>
              <w:rPr>
                <w:rFonts w:hint="default" w:ascii="宋体" w:hAnsi="宋体" w:eastAsia="宋体"/>
                <w:sz w:val="22"/>
                <w:lang w:val="en-US" w:eastAsia="zh-CN"/>
              </w:rPr>
            </w:pPr>
          </w:p>
        </w:tc>
      </w:tr>
    </w:tbl>
    <w:p w14:paraId="03BA80BB">
      <w:pPr>
        <w:spacing w:line="570" w:lineRule="exact"/>
        <w:jc w:val="center"/>
        <w:rPr>
          <w:rFonts w:hint="eastAsia" w:ascii="方正小标宋简体" w:hAnsi="方正小标宋简体" w:eastAsia="方正小标宋简体" w:cs="方正小标宋简体"/>
          <w:b/>
          <w:bCs/>
          <w:sz w:val="36"/>
          <w:szCs w:val="36"/>
          <w:u w:val="single"/>
        </w:rPr>
      </w:pPr>
    </w:p>
    <w:p w14:paraId="774549B7">
      <w:pPr>
        <w:spacing w:line="570" w:lineRule="exact"/>
        <w:jc w:val="center"/>
        <w:rPr>
          <w:rFonts w:hint="eastAsia" w:ascii="方正小标宋简体" w:hAnsi="方正小标宋简体" w:eastAsia="方正小标宋简体" w:cs="方正小标宋简体"/>
          <w:b/>
          <w:bCs/>
          <w:sz w:val="36"/>
          <w:szCs w:val="36"/>
          <w:u w:val="single"/>
        </w:rPr>
      </w:pPr>
    </w:p>
    <w:p w14:paraId="0FBA83C2">
      <w:pPr>
        <w:spacing w:line="570" w:lineRule="exact"/>
        <w:jc w:val="center"/>
        <w:rPr>
          <w:rFonts w:hint="eastAsia" w:ascii="方正小标宋简体" w:hAnsi="方正小标宋简体" w:eastAsia="方正小标宋简体" w:cs="方正小标宋简体"/>
          <w:b/>
          <w:bCs/>
          <w:sz w:val="36"/>
          <w:szCs w:val="36"/>
          <w:u w:val="single"/>
        </w:rPr>
      </w:pPr>
    </w:p>
    <w:p w14:paraId="1FFD7686">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琼中县营根镇海榆中线办公综合楼一层4号、5号、6号、7号商铺121.8平方米整包出租交易公示</w:t>
      </w:r>
    </w:p>
    <w:p w14:paraId="5A430A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lang w:val="en-US" w:eastAsia="zh-CN"/>
        </w:rPr>
        <w:t>海南加钗投资控股发展有限责任公司</w:t>
      </w:r>
      <w:r>
        <w:rPr>
          <w:rFonts w:hint="eastAsia" w:asciiTheme="minorEastAsia" w:hAnsiTheme="minorEastAsia" w:eastAsiaTheme="minorEastAsia" w:cstheme="minorEastAsia"/>
          <w:sz w:val="28"/>
          <w:szCs w:val="28"/>
        </w:rPr>
        <w:t>召开的会议决议，</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cstheme="minorEastAsia"/>
          <w:b/>
          <w:bCs/>
          <w:sz w:val="28"/>
          <w:szCs w:val="28"/>
          <w:u w:val="single"/>
          <w:lang w:val="en-US" w:eastAsia="zh-CN"/>
        </w:rPr>
        <w:t>琼中县营根镇海榆中线办公综合楼一层4号、5号、6号、7号商铺121.8平方米整包出租</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570FD67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8A1B4C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琼中县营根镇海榆中线办公综合楼一层4号、5号、6号、7号商铺121.8平方米整包出租</w:t>
      </w:r>
    </w:p>
    <w:p w14:paraId="1F6818D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sz w:val="28"/>
          <w:szCs w:val="28"/>
          <w:lang w:val="en-US" w:eastAsia="zh-CN"/>
        </w:rPr>
        <w:t>琼中黎族苗族自治县垦地融合资源开发有限责任公司</w:t>
      </w:r>
    </w:p>
    <w:p w14:paraId="0E28C6B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121.8</w:t>
      </w:r>
      <w:r>
        <w:rPr>
          <w:rFonts w:hint="eastAsia" w:asciiTheme="minorEastAsia" w:hAnsiTheme="minorEastAsia" w:eastAsiaTheme="minorEastAsia" w:cstheme="minorEastAsia"/>
          <w:sz w:val="28"/>
          <w:szCs w:val="28"/>
          <w:lang w:val="en-US" w:eastAsia="zh-CN"/>
        </w:rPr>
        <w:t>平方米</w:t>
      </w:r>
    </w:p>
    <w:p w14:paraId="0A439A3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3年</w:t>
      </w:r>
    </w:p>
    <w:p w14:paraId="465A942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sz w:val="28"/>
          <w:szCs w:val="28"/>
          <w:lang w:val="en-US" w:eastAsia="zh-CN"/>
        </w:rPr>
        <w:t>89328元/年</w:t>
      </w:r>
    </w:p>
    <w:p w14:paraId="5DD884E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17865</w:t>
      </w:r>
      <w:r>
        <w:rPr>
          <w:rFonts w:hint="eastAsia" w:asciiTheme="minorEastAsia" w:hAnsiTheme="minorEastAsia" w:cstheme="minorEastAsia"/>
          <w:sz w:val="28"/>
          <w:szCs w:val="28"/>
          <w:lang w:val="en-US" w:eastAsia="zh-CN"/>
        </w:rPr>
        <w:t xml:space="preserve">元 </w:t>
      </w:r>
    </w:p>
    <w:p w14:paraId="3B44E739">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BC644B9">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12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bookmarkStart w:id="36" w:name="_GoBack"/>
      <w:bookmarkEnd w:id="36"/>
      <w:r>
        <w:rPr>
          <w:rFonts w:hint="eastAsia" w:asciiTheme="minorEastAsia" w:hAnsiTheme="minorEastAsia" w:eastAsiaTheme="minorEastAsia" w:cstheme="minorEastAsia"/>
          <w:sz w:val="28"/>
          <w:szCs w:val="28"/>
        </w:rPr>
        <w:t xml:space="preserve"> 16:00</w:t>
      </w:r>
    </w:p>
    <w:p w14:paraId="304781C2">
      <w:pPr>
        <w:numPr>
          <w:ilvl w:val="0"/>
          <w:numId w:val="0"/>
        </w:num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租金按季度支付，每季度支付一次，缴纳14888元为押金。</w:t>
      </w:r>
    </w:p>
    <w:p w14:paraId="4B547973">
      <w:pPr>
        <w:numPr>
          <w:ilvl w:val="0"/>
          <w:numId w:val="0"/>
        </w:num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王镭 18808990722</w:t>
      </w:r>
    </w:p>
    <w:p w14:paraId="244E5F4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44A47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0D364674">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177290" cy="1177290"/>
                    </a:xfrm>
                    <a:prstGeom prst="rect">
                      <a:avLst/>
                    </a:prstGeom>
                    <a:noFill/>
                    <a:ln w="9525">
                      <a:noFill/>
                    </a:ln>
                  </pic:spPr>
                </pic:pic>
              </a:graphicData>
            </a:graphic>
          </wp:anchor>
        </w:drawing>
      </w:r>
    </w:p>
    <w:p w14:paraId="3C47A29D">
      <w:pPr>
        <w:pStyle w:val="5"/>
        <w:jc w:val="right"/>
        <w:rPr>
          <w:b/>
          <w:bCs/>
          <w:sz w:val="28"/>
          <w:szCs w:val="36"/>
        </w:rPr>
      </w:pPr>
      <w:r>
        <w:rPr>
          <w:rFonts w:hint="eastAsia"/>
          <w:b/>
          <w:bCs/>
          <w:sz w:val="28"/>
          <w:szCs w:val="36"/>
        </w:rPr>
        <w:t>已详细阅读此交易公示，对此交易公示内容无异议。</w:t>
      </w:r>
    </w:p>
    <w:p w14:paraId="3E5D70F4">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86EE07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50A77EB">
      <w:pPr>
        <w:pStyle w:val="7"/>
        <w:rPr>
          <w:rFonts w:hint="eastAsia" w:eastAsiaTheme="minorEastAsia"/>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D597F">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0316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F0316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9991E4D"/>
    <w:rsid w:val="0A8721A0"/>
    <w:rsid w:val="0B7B2128"/>
    <w:rsid w:val="0B985CD3"/>
    <w:rsid w:val="0E9816ED"/>
    <w:rsid w:val="10396E71"/>
    <w:rsid w:val="11DE52CB"/>
    <w:rsid w:val="1425541A"/>
    <w:rsid w:val="150A3847"/>
    <w:rsid w:val="18E10F33"/>
    <w:rsid w:val="1A0C35CC"/>
    <w:rsid w:val="2163678E"/>
    <w:rsid w:val="2171056A"/>
    <w:rsid w:val="23C4301C"/>
    <w:rsid w:val="2741574C"/>
    <w:rsid w:val="28C7769D"/>
    <w:rsid w:val="2C765212"/>
    <w:rsid w:val="30B56AE1"/>
    <w:rsid w:val="327E6635"/>
    <w:rsid w:val="3516702D"/>
    <w:rsid w:val="356B5D48"/>
    <w:rsid w:val="36AD138D"/>
    <w:rsid w:val="378B28D0"/>
    <w:rsid w:val="379866CB"/>
    <w:rsid w:val="37E601A9"/>
    <w:rsid w:val="3A7A2C02"/>
    <w:rsid w:val="3EE84C2D"/>
    <w:rsid w:val="43315BEC"/>
    <w:rsid w:val="43AD1C7C"/>
    <w:rsid w:val="44912C24"/>
    <w:rsid w:val="44FC64D7"/>
    <w:rsid w:val="47C03328"/>
    <w:rsid w:val="4C122427"/>
    <w:rsid w:val="4D440E1C"/>
    <w:rsid w:val="4DC33073"/>
    <w:rsid w:val="4E3F7559"/>
    <w:rsid w:val="4ECE0172"/>
    <w:rsid w:val="51516E47"/>
    <w:rsid w:val="52680E19"/>
    <w:rsid w:val="5CF93C67"/>
    <w:rsid w:val="60F57957"/>
    <w:rsid w:val="64515E2E"/>
    <w:rsid w:val="64D61FAB"/>
    <w:rsid w:val="685D7846"/>
    <w:rsid w:val="70FC327E"/>
    <w:rsid w:val="75F24B68"/>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6884</Words>
  <Characters>7335</Characters>
  <Lines>59</Lines>
  <Paragraphs>16</Paragraphs>
  <TotalTime>13</TotalTime>
  <ScaleCrop>false</ScaleCrop>
  <LinksUpToDate>false</LinksUpToDate>
  <CharactersWithSpaces>7832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琼中产权交易中心</cp:lastModifiedBy>
  <dcterms:modified xsi:type="dcterms:W3CDTF">2025-07-31T03:54:06Z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949F52AAD78549859255166F9331211F_13</vt:lpwstr>
  </property>
  <property fmtid="{D5CDD505-2E9C-101B-9397-08002B2CF9AE}" pid="4" name="KSOTemplateDocerSaveRecord">
    <vt:lpwstr>eyJoZGlkIjoiMTIwOWMyZmIyYjc5ZjRhZWZlYTZlOGJlMWFiNGU5MDYiLCJ1c2VySWQiOiIxNjg0NzAxOTk1In0=</vt:lpwstr>
  </property>
</Properties>
</file>