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2BA124EB">
      <w:pPr>
        <w:jc w:val="left"/>
        <w:sectPr>
          <w:pgSz w:w="11906" w:h="16838"/>
          <w:pgMar w:top="1440" w:right="1800" w:bottom="1440" w:left="1800" w:header="851" w:footer="992" w:gutter="0"/>
          <w:pgNumType w:fmt="decimal"/>
          <w:cols w:space="425" w:num="1"/>
          <w:docGrid w:type="lines" w:linePitch="312" w:charSpace="0"/>
        </w:sectPr>
      </w:pPr>
    </w:p>
    <w:p w14:paraId="69A6F097">
      <w:pPr>
        <w:pStyle w:val="3"/>
        <w:spacing w:line="240" w:lineRule="auto"/>
        <w:rPr>
          <w:rFonts w:ascii="黑体" w:hAnsi="黑体"/>
          <w:color w:val="000000"/>
        </w:rPr>
      </w:pPr>
      <w:bookmarkStart w:id="1" w:name="_Toc20910"/>
      <w:bookmarkStart w:id="2" w:name="_Toc32320"/>
      <w:bookmarkStart w:id="3" w:name="_Toc15737"/>
      <w:bookmarkStart w:id="4" w:name="_Toc24454"/>
      <w:bookmarkStart w:id="5" w:name="_Toc21422"/>
      <w:bookmarkStart w:id="6" w:name="_Toc21762"/>
      <w:bookmarkStart w:id="7" w:name="_Toc11918"/>
      <w:bookmarkStart w:id="8" w:name="_Toc24727"/>
      <w:bookmarkStart w:id="9" w:name="_Toc24068"/>
      <w:bookmarkStart w:id="10" w:name="_Toc25712"/>
      <w:bookmarkStart w:id="11" w:name="_Toc7615"/>
      <w:bookmarkStart w:id="12" w:name="_Toc20033"/>
      <w:bookmarkStart w:id="13" w:name="_Toc8396"/>
      <w:bookmarkStart w:id="14" w:name="_Toc13462"/>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琼中县营根镇营工巷原县总工会住宅区2幢33㎡06号铺面资产出租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琼中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sz w:val="28"/>
          <w:szCs w:val="28"/>
          <w:u w:val="single"/>
          <w:lang w:val="en-US" w:eastAsia="zh-CN"/>
        </w:rPr>
        <w:t>22176</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FF0000"/>
          <w:sz w:val="28"/>
          <w:szCs w:val="28"/>
          <w:u w:val="single"/>
        </w:rPr>
        <w:t>100</w:t>
      </w:r>
      <w:r>
        <w:rPr>
          <w:rFonts w:hint="eastAsia" w:ascii="新宋体" w:hAnsi="新宋体" w:eastAsia="新宋体" w:cs="Times New Roman"/>
          <w:color w:val="FF0000"/>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 xml:space="preserve">08-14  </w:t>
      </w:r>
      <w:r>
        <w:rPr>
          <w:rFonts w:hint="eastAsia" w:ascii="新宋体" w:hAnsi="新宋体" w:eastAsia="新宋体" w:cs="Times New Roman"/>
          <w:b/>
          <w:bCs/>
          <w:color w:val="FF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032E761">
      <w:pPr>
        <w:pStyle w:val="3"/>
        <w:spacing w:line="240" w:lineRule="auto"/>
        <w:jc w:val="both"/>
        <w:rPr>
          <w:rFonts w:ascii="黑体" w:hAnsi="黑体"/>
          <w:color w:val="00000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琼中县营根镇营工巷原县总工会住宅区2幢33㎡06号铺面资产出租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琼中县营根镇营工巷原县总工会住宅区2幢33㎡06号铺面资产出租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琼中县营根镇营工巷原县总工会住宅区2幢33㎡06号铺面资产出租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EDA5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琼中县营根镇营工巷原县总工会住宅区2幢33㎡06号铺面资产出租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4580"/>
      <w:bookmarkStart w:id="29" w:name="_Toc14469"/>
      <w:bookmarkStart w:id="30" w:name="_Toc32101"/>
      <w:bookmarkStart w:id="31" w:name="_Toc13094"/>
      <w:bookmarkStart w:id="32" w:name="_Toc11237"/>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琼中县营根镇营工巷原县总工会住宅区2幢33㎡06号铺面资产出租交易公示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琼中县营根镇营工巷原县总工会住宅区2幢33㎡06号铺面资产出租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bookmarkStart w:id="36" w:name="_GoBack"/>
      <w:r>
        <w:rPr>
          <w:rFonts w:hint="eastAsia" w:asciiTheme="minorEastAsia" w:hAnsiTheme="minorEastAsia" w:cstheme="minorEastAsia"/>
          <w:sz w:val="28"/>
          <w:szCs w:val="28"/>
          <w:lang w:val="en-US" w:eastAsia="zh-CN"/>
        </w:rPr>
        <w:t>琼中县营根镇营工巷原县总工会住宅区2幢33㎡06号铺面资产出租</w:t>
      </w:r>
    </w:p>
    <w:bookmarkEnd w:id="36"/>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33</w:t>
      </w:r>
      <w:r>
        <w:rPr>
          <w:rFonts w:hint="eastAsia" w:asciiTheme="minorEastAsia" w:hAnsiTheme="minorEastAsia" w:eastAsiaTheme="minorEastAsia" w:cstheme="minorEastAsia"/>
          <w:sz w:val="28"/>
          <w:szCs w:val="28"/>
          <w:lang w:val="en-US" w:eastAsia="zh-CN"/>
        </w:rPr>
        <w:t>平方米</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sz w:val="28"/>
          <w:szCs w:val="28"/>
          <w:lang w:val="en-US" w:eastAsia="zh-CN"/>
        </w:rPr>
        <w:t>22176元/年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4435</w:t>
      </w:r>
      <w:r>
        <w:rPr>
          <w:rFonts w:hint="eastAsia" w:asciiTheme="minorEastAsia" w:hAnsiTheme="minorEastAsia" w:cstheme="minorEastAsia"/>
          <w:sz w:val="28"/>
          <w:szCs w:val="28"/>
          <w:lang w:val="en-US" w:eastAsia="zh-CN"/>
        </w:rPr>
        <w:t xml:space="preserve">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304781C2">
      <w:pPr>
        <w:numPr>
          <w:ilvl w:val="0"/>
          <w:numId w:val="0"/>
        </w:num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租金一年一付，三个月租金作为履约保证金。</w:t>
      </w:r>
    </w:p>
    <w:p w14:paraId="4B547973">
      <w:pPr>
        <w:numPr>
          <w:ilvl w:val="0"/>
          <w:numId w:val="0"/>
        </w:num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 18117736002</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597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0316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F0316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11C65E1"/>
    <w:rsid w:val="09991E4D"/>
    <w:rsid w:val="0A8721A0"/>
    <w:rsid w:val="0B7B2128"/>
    <w:rsid w:val="0B985CD3"/>
    <w:rsid w:val="0E9816ED"/>
    <w:rsid w:val="10396E71"/>
    <w:rsid w:val="111F5801"/>
    <w:rsid w:val="11DE52CB"/>
    <w:rsid w:val="1425541A"/>
    <w:rsid w:val="150A3847"/>
    <w:rsid w:val="18E10F33"/>
    <w:rsid w:val="1A0C35CC"/>
    <w:rsid w:val="1EB91676"/>
    <w:rsid w:val="2163678E"/>
    <w:rsid w:val="2171056A"/>
    <w:rsid w:val="23C4301C"/>
    <w:rsid w:val="2741574C"/>
    <w:rsid w:val="28C7769D"/>
    <w:rsid w:val="2C765212"/>
    <w:rsid w:val="30B56AE1"/>
    <w:rsid w:val="327E6635"/>
    <w:rsid w:val="3516702D"/>
    <w:rsid w:val="356B5D48"/>
    <w:rsid w:val="36AD138D"/>
    <w:rsid w:val="378B28D0"/>
    <w:rsid w:val="37E601A9"/>
    <w:rsid w:val="3A7A2C02"/>
    <w:rsid w:val="3EE84C2D"/>
    <w:rsid w:val="43315BEC"/>
    <w:rsid w:val="43AD1C7C"/>
    <w:rsid w:val="43CA7AC6"/>
    <w:rsid w:val="44912C24"/>
    <w:rsid w:val="44950109"/>
    <w:rsid w:val="44FC64D7"/>
    <w:rsid w:val="47C03328"/>
    <w:rsid w:val="4C122427"/>
    <w:rsid w:val="4D440E1C"/>
    <w:rsid w:val="4DC33073"/>
    <w:rsid w:val="4E3F7559"/>
    <w:rsid w:val="4ECE0172"/>
    <w:rsid w:val="51516E47"/>
    <w:rsid w:val="5CF93C67"/>
    <w:rsid w:val="64515E2E"/>
    <w:rsid w:val="64D61FAB"/>
    <w:rsid w:val="685D7846"/>
    <w:rsid w:val="70FC327E"/>
    <w:rsid w:val="75F24B68"/>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6877</Words>
  <Characters>7336</Characters>
  <Lines>59</Lines>
  <Paragraphs>16</Paragraphs>
  <TotalTime>3</TotalTime>
  <ScaleCrop>false</ScaleCrop>
  <LinksUpToDate>false</LinksUpToDate>
  <CharactersWithSpaces>7833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2025-08-04T07:58:00Z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FD35DCA3909342B49046EBCA56B4534C_13</vt:lpwstr>
  </property>
  <property fmtid="{D5CDD505-2E9C-101B-9397-08002B2CF9AE}" pid="4" name="KSOTemplateDocerSaveRecord">
    <vt:lpwstr>eyJoZGlkIjoiMTIwOWMyZmIyYjc5ZjRhZWZlYTZlOGJlMWFiNGU5MDYiLCJ1c2VySWQiOiIxNjg0NzAxOTk1In0=</vt:lpwstr>
  </property>
</Properties>
</file>