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21422"/>
      <w:bookmarkStart w:id="3" w:name="_Toc24454"/>
      <w:bookmarkStart w:id="4" w:name="_Toc21762"/>
      <w:bookmarkStart w:id="5" w:name="_Toc20910"/>
      <w:bookmarkStart w:id="6" w:name="_Toc11918"/>
      <w:bookmarkStart w:id="7" w:name="_Toc15737"/>
      <w:bookmarkStart w:id="8" w:name="_Toc29002"/>
      <w:bookmarkStart w:id="9" w:name="_Toc8396"/>
      <w:bookmarkStart w:id="10" w:name="_Toc12789"/>
      <w:bookmarkStart w:id="11" w:name="_Toc13462"/>
      <w:bookmarkStart w:id="12" w:name="_Toc24727"/>
      <w:bookmarkStart w:id="13" w:name="_Toc25712"/>
      <w:bookmarkStart w:id="14" w:name="_Toc7615"/>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东方市三家镇酸梅村农贸市场8号商铺30.73平方米出租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东方市三家镇酸梅村农贸市场8号商铺30.73平方米出租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东方市三家镇酸梅村农贸市场8号商铺30.73平方米出租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东方市三家镇酸梅村农贸市场8号商铺30.73平方米出租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东方市三家镇酸梅村农贸市场8号商铺30.73平方米出租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11237"/>
      <w:bookmarkStart w:id="30" w:name="_Toc14469"/>
      <w:bookmarkStart w:id="31" w:name="_Toc29841"/>
      <w:bookmarkStart w:id="32" w:name="_Toc4580"/>
      <w:bookmarkStart w:id="33" w:name="_Toc1226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8号商铺30.73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bookmarkStart w:id="37" w:name="_GoBack"/>
      <w:bookmarkEnd w:id="37"/>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东方市三家镇酸梅村农贸市场8号商铺30.73平方米出租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三家镇酸梅村农贸市场8号商铺30.73平方米出租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FA9DA0-F0D9-4973-B67B-841FBF30FF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8BC73D9-A085-4358-8322-236B4F70671B}"/>
  </w:font>
  <w:font w:name="新宋体">
    <w:panose1 w:val="02010609030101010101"/>
    <w:charset w:val="86"/>
    <w:family w:val="modern"/>
    <w:pitch w:val="default"/>
    <w:sig w:usb0="00000203" w:usb1="288F0000" w:usb2="00000006" w:usb3="00000000" w:csb0="00040001" w:csb1="00000000"/>
    <w:embedRegular r:id="rId3" w:fontKey="{5F55B27B-29EB-40A8-BACF-AF06E3336C8F}"/>
  </w:font>
  <w:font w:name="微软雅黑">
    <w:panose1 w:val="020B0503020204020204"/>
    <w:charset w:val="86"/>
    <w:family w:val="swiss"/>
    <w:pitch w:val="default"/>
    <w:sig w:usb0="80000287" w:usb1="2ACF3C50" w:usb2="00000016" w:usb3="00000000" w:csb0="0004001F" w:csb1="00000000"/>
    <w:embedRegular r:id="rId4" w:fontKey="{A7D0EAF9-DBA8-4CC5-A37C-8FA57176EC5E}"/>
  </w:font>
  <w:font w:name="方正小标宋简体">
    <w:panose1 w:val="02000000000000000000"/>
    <w:charset w:val="86"/>
    <w:family w:val="auto"/>
    <w:pitch w:val="default"/>
    <w:sig w:usb0="00000001" w:usb1="08000000" w:usb2="00000000" w:usb3="00000000" w:csb0="00040000" w:csb1="00000000"/>
    <w:embedRegular r:id="rId5" w:fontKey="{9FB0C23E-15A5-4C75-A662-5F9206FB5E02}"/>
  </w:font>
  <w:font w:name="仿宋">
    <w:panose1 w:val="02010609060101010101"/>
    <w:charset w:val="86"/>
    <w:family w:val="modern"/>
    <w:pitch w:val="default"/>
    <w:sig w:usb0="800002BF" w:usb1="38CF7CFA" w:usb2="00000016" w:usb3="00000000" w:csb0="00040001" w:csb1="00000000"/>
    <w:embedRegular r:id="rId6" w:fontKey="{278A9185-28B8-4B8A-83DE-7A670A55B3DD}"/>
  </w:font>
  <w:font w:name="方正小标宋_GBK">
    <w:panose1 w:val="02000000000000000000"/>
    <w:charset w:val="86"/>
    <w:family w:val="auto"/>
    <w:pitch w:val="default"/>
    <w:sig w:usb0="A00002BF" w:usb1="38CF7CFA" w:usb2="00082016" w:usb3="00000000" w:csb0="00040001" w:csb1="00000000"/>
    <w:embedRegular r:id="rId7" w:fontKey="{7CB0BA38-D6EC-4434-A80A-23F2631FF5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D945ED5"/>
    <w:rsid w:val="0E9816ED"/>
    <w:rsid w:val="0F705866"/>
    <w:rsid w:val="10396E71"/>
    <w:rsid w:val="11DE52CB"/>
    <w:rsid w:val="14AE726C"/>
    <w:rsid w:val="150A3847"/>
    <w:rsid w:val="160D174D"/>
    <w:rsid w:val="16D93709"/>
    <w:rsid w:val="18E10F33"/>
    <w:rsid w:val="1A0C35CC"/>
    <w:rsid w:val="1B443D5F"/>
    <w:rsid w:val="1CE74D57"/>
    <w:rsid w:val="1D6A288E"/>
    <w:rsid w:val="20BE4E97"/>
    <w:rsid w:val="2163678E"/>
    <w:rsid w:val="23C4301C"/>
    <w:rsid w:val="24A40371"/>
    <w:rsid w:val="2741574C"/>
    <w:rsid w:val="2B3B26F3"/>
    <w:rsid w:val="2C765212"/>
    <w:rsid w:val="2F0F6680"/>
    <w:rsid w:val="308F0BD0"/>
    <w:rsid w:val="30B515F7"/>
    <w:rsid w:val="30B56AE1"/>
    <w:rsid w:val="30CE55FA"/>
    <w:rsid w:val="327E6635"/>
    <w:rsid w:val="3321133C"/>
    <w:rsid w:val="3516702D"/>
    <w:rsid w:val="35597D15"/>
    <w:rsid w:val="356B5D48"/>
    <w:rsid w:val="36257C7B"/>
    <w:rsid w:val="37E601A9"/>
    <w:rsid w:val="3A7A2C02"/>
    <w:rsid w:val="3AA12ABC"/>
    <w:rsid w:val="3ABF58EF"/>
    <w:rsid w:val="3EE84C2D"/>
    <w:rsid w:val="408C5FDA"/>
    <w:rsid w:val="43315BEC"/>
    <w:rsid w:val="43AD1C7C"/>
    <w:rsid w:val="44912C24"/>
    <w:rsid w:val="449F3297"/>
    <w:rsid w:val="44D4099F"/>
    <w:rsid w:val="47C03328"/>
    <w:rsid w:val="48350522"/>
    <w:rsid w:val="48F422BB"/>
    <w:rsid w:val="4A7A6DBA"/>
    <w:rsid w:val="4AF57BB1"/>
    <w:rsid w:val="4C122427"/>
    <w:rsid w:val="4CFC484E"/>
    <w:rsid w:val="4D440E1C"/>
    <w:rsid w:val="4D8C3FD3"/>
    <w:rsid w:val="4DC33073"/>
    <w:rsid w:val="4E3F7559"/>
    <w:rsid w:val="4ECE0172"/>
    <w:rsid w:val="4EDC45F1"/>
    <w:rsid w:val="51516E47"/>
    <w:rsid w:val="51E03964"/>
    <w:rsid w:val="542751AF"/>
    <w:rsid w:val="586217E6"/>
    <w:rsid w:val="5CF93C67"/>
    <w:rsid w:val="608F56CF"/>
    <w:rsid w:val="6306434D"/>
    <w:rsid w:val="639B14F1"/>
    <w:rsid w:val="64515E2E"/>
    <w:rsid w:val="64905F1A"/>
    <w:rsid w:val="64AA3487"/>
    <w:rsid w:val="64D61FAB"/>
    <w:rsid w:val="6694216A"/>
    <w:rsid w:val="69806ABA"/>
    <w:rsid w:val="6D551065"/>
    <w:rsid w:val="6E966A15"/>
    <w:rsid w:val="6EF47329"/>
    <w:rsid w:val="70C163F9"/>
    <w:rsid w:val="71046CB0"/>
    <w:rsid w:val="7298080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4406</Words>
  <Characters>4618</Characters>
  <Lines>59</Lines>
  <Paragraphs>16</Paragraphs>
  <TotalTime>13</TotalTime>
  <ScaleCrop>false</ScaleCrop>
  <LinksUpToDate>false</LinksUpToDate>
  <CharactersWithSpaces>4636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2025-08-25T07:13:25Z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BA2042B7FE704796843BB31D1D3A05B6_13</vt:lpwstr>
  </property>
  <property fmtid="{D5CDD505-2E9C-101B-9397-08002B2CF9AE}" pid="4" name="KSOTemplateDocerSaveRecord">
    <vt:lpwstr>eyJoZGlkIjoiNWM0NTgyZTYyOWY5MDc4Y2QwNjc0NjlhZDMwNWY5MTgiLCJ1c2VySWQiOiIxMDAzNjA2NDA1In0=</vt:lpwstr>
  </property>
</Properties>
</file>