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32320"/>
      <w:bookmarkStart w:id="4" w:name="_Toc21422"/>
      <w:bookmarkStart w:id="5" w:name="_Toc21762"/>
      <w:bookmarkStart w:id="6" w:name="_Toc15737"/>
      <w:bookmarkStart w:id="7" w:name="_Toc11918"/>
      <w:bookmarkStart w:id="8" w:name="_Toc7615"/>
      <w:bookmarkStart w:id="9" w:name="_Toc8396"/>
      <w:bookmarkStart w:id="10" w:name="_Toc25712"/>
      <w:bookmarkStart w:id="11" w:name="_Toc12789"/>
      <w:bookmarkStart w:id="12" w:name="_Toc24068"/>
      <w:bookmarkStart w:id="13" w:name="_Toc20033"/>
      <w:bookmarkStart w:id="14" w:name="_Toc24727"/>
      <w:bookmarkStart w:id="15" w:name="_Toc13462"/>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新盈镇东光农场第二、第三队220亩林地发包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88000元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88000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9-15日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bookmarkStart w:id="36" w:name="_GoBack"/>
      <w:bookmarkEnd w:id="36"/>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新盈镇东光农场第二、第三队220亩林地发包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新盈镇东光农场第二、第三队220亩林地发包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新盈镇东光农场第二、第三队220亩林地发包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新盈镇东光农场第二、第三队220亩林地发包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14469"/>
      <w:bookmarkStart w:id="30" w:name="_Toc29841"/>
      <w:bookmarkStart w:id="31" w:name="_Toc12264"/>
      <w:bookmarkStart w:id="32" w:name="_Toc4580"/>
      <w:bookmarkStart w:id="33" w:name="_Toc1309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新盈镇东光农场第二、第三队220亩林地发包</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 xml:space="preserve"> 临高县新盈镇东光农场</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新盈镇东光农场第二、第三队220亩林地发包</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新盈镇东光农场第二、第三队220亩林地发包</w:t>
      </w:r>
    </w:p>
    <w:p w14:paraId="306270E8">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 xml:space="preserve"> 临高县新盈镇东光农场</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220亩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88000元/年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：88000元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租金按五年一付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17803698162/18876819216</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7D8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96499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C96499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05772C0"/>
    <w:rsid w:val="11DE52CB"/>
    <w:rsid w:val="132D209C"/>
    <w:rsid w:val="148D1503"/>
    <w:rsid w:val="150A3847"/>
    <w:rsid w:val="16C136E5"/>
    <w:rsid w:val="16D93709"/>
    <w:rsid w:val="18E10F33"/>
    <w:rsid w:val="1A0C35CC"/>
    <w:rsid w:val="1A626F8D"/>
    <w:rsid w:val="1CE74D57"/>
    <w:rsid w:val="201132A1"/>
    <w:rsid w:val="205C18F7"/>
    <w:rsid w:val="20BE4E97"/>
    <w:rsid w:val="2163678E"/>
    <w:rsid w:val="23C4301C"/>
    <w:rsid w:val="2741574C"/>
    <w:rsid w:val="29A96C5C"/>
    <w:rsid w:val="2C765212"/>
    <w:rsid w:val="30AA01BC"/>
    <w:rsid w:val="30B56AE1"/>
    <w:rsid w:val="30CE55FA"/>
    <w:rsid w:val="317C672F"/>
    <w:rsid w:val="327E6635"/>
    <w:rsid w:val="3321133C"/>
    <w:rsid w:val="347A51A8"/>
    <w:rsid w:val="3516702D"/>
    <w:rsid w:val="356B5D48"/>
    <w:rsid w:val="36257C7B"/>
    <w:rsid w:val="37E601A9"/>
    <w:rsid w:val="380361CD"/>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B46598C"/>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D30394E"/>
    <w:rsid w:val="7020414E"/>
    <w:rsid w:val="73C6500C"/>
    <w:rsid w:val="75775737"/>
    <w:rsid w:val="76312BA1"/>
    <w:rsid w:val="77D1081F"/>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6869</Words>
  <Characters>7318</Characters>
  <Lines>59</Lines>
  <Paragraphs>16</Paragraphs>
  <TotalTime>1</TotalTime>
  <ScaleCrop>false</ScaleCrop>
  <LinksUpToDate>false</LinksUpToDate>
  <CharactersWithSpaces>7814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2025-09-03T08:45:20Z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