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4.网络竞价承诺函（附件2）（签字并加盖公章）</w:t>
      </w: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26A489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5CDDC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注：以上1-4项材料需以邮件的形式发送至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wordWrap w:val="0"/>
        <w:jc w:val="righ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盖章</w:t>
      </w:r>
      <w:r>
        <w:rPr>
          <w:rFonts w:hint="eastAsia" w:asciiTheme="minorEastAsia" w:hAnsiTheme="minorEastAsia" w:cstheme="minorEastAsia"/>
          <w:color w:val="000000"/>
          <w:kern w:val="0"/>
          <w:sz w:val="28"/>
          <w:szCs w:val="28"/>
          <w:lang w:val="en-US" w:eastAsia="zh-CN" w:bidi="ar"/>
        </w:rPr>
        <w:t>/按手印</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安远县孔田镇下龙村路灯维修服务采购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安远县孔田镇下龙村路灯维修服务采购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安远县孔田镇下龙村路灯维修服务采购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bookmarkStart w:id="0" w:name="_GoBack"/>
      <w:bookmarkEnd w:id="0"/>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787DE8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val="0"/>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签字并盖章/按手印</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23A001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78409B"/>
    <w:rsid w:val="1DB80FC3"/>
    <w:rsid w:val="20F621DE"/>
    <w:rsid w:val="244218FD"/>
    <w:rsid w:val="2DFD2703"/>
    <w:rsid w:val="41524DB6"/>
    <w:rsid w:val="4EF61278"/>
    <w:rsid w:val="4F0911AA"/>
    <w:rsid w:val="50F15542"/>
    <w:rsid w:val="5B2F47A2"/>
    <w:rsid w:val="5E0C6C7D"/>
    <w:rsid w:val="5E547F68"/>
    <w:rsid w:val="5F226104"/>
    <w:rsid w:val="61782397"/>
    <w:rsid w:val="72D628F0"/>
    <w:rsid w:val="75BF4FE3"/>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2196</Words>
  <Characters>2494</Characters>
  <Lines>0</Lines>
  <Paragraphs>0</Paragraphs>
  <TotalTime>21</TotalTime>
  <ScaleCrop>false</ScaleCrop>
  <LinksUpToDate>false</LinksUpToDate>
  <CharactersWithSpaces>2565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王嘉尔</cp:lastModifiedBy>
  <dcterms:modified xsi:type="dcterms:W3CDTF">2025-09-04T03:06:58Z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600425BB90334643ACF470FC94CCCFC3_13</vt:lpwstr>
  </property>
  <property fmtid="{D5CDD505-2E9C-101B-9397-08002B2CF9AE}" pid="4" name="KSOTemplateDocerSaveRecord">
    <vt:lpwstr>eyJoZGlkIjoiMDlkMzA2ZTg1ZTdiMjYxMTMxNmY3MzRlN2M0ZmUxYTYiLCJ1c2VySWQiOiIxMDc1MjkwMjY2In0=</vt:lpwstr>
  </property>
</Properties>
</file>