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679846">
      <w:pPr>
        <w:spacing w:before="74"/>
        <w:ind w:left="117" w:right="0" w:firstLine="0"/>
        <w:jc w:val="left"/>
        <w:rPr>
          <w:rFonts w:ascii="Times New Roman" w:hAnsi="Times New Roman"/>
          <w:b/>
          <w:sz w:val="28"/>
        </w:rPr>
      </w:pPr>
      <w:r>
        <w:rPr>
          <w:rFonts w:ascii="Times New Roman" w:hAnsi="Times New Roman"/>
          <w:b/>
          <w:color w:val="231F20"/>
          <w:spacing w:val="-4"/>
          <w:w w:val="95"/>
          <w:sz w:val="28"/>
        </w:rPr>
        <w:t>GF—2020—2603</w:t>
      </w:r>
    </w:p>
    <w:p w14:paraId="37ED0B05">
      <w:pPr>
        <w:pStyle w:val="3"/>
        <w:rPr>
          <w:rFonts w:ascii="Times New Roman"/>
          <w:b/>
          <w:sz w:val="24"/>
        </w:rPr>
      </w:pPr>
      <w:r>
        <w:br w:type="column"/>
      </w:r>
    </w:p>
    <w:p w14:paraId="62D70E01">
      <w:pPr>
        <w:pStyle w:val="3"/>
        <w:tabs>
          <w:tab w:val="left" w:pos="6310"/>
        </w:tabs>
        <w:spacing w:before="188"/>
        <w:ind w:left="2319"/>
      </w:pPr>
      <w:r>
        <w:rPr>
          <w:color w:val="231F20"/>
        </w:rPr>
        <w:t>合同编号</w:t>
      </w:r>
      <w:r>
        <w:rPr>
          <w:color w:val="231F20"/>
          <w:u w:val="single" w:color="231F20"/>
        </w:rPr>
        <w:t>：</w:t>
      </w:r>
      <w:r>
        <w:rPr>
          <w:color w:val="231F20"/>
          <w:u w:val="single" w:color="231F20"/>
        </w:rPr>
        <w:tab/>
      </w:r>
    </w:p>
    <w:p w14:paraId="34EF4A40">
      <w:pPr>
        <w:pStyle w:val="3"/>
        <w:rPr>
          <w:sz w:val="24"/>
        </w:rPr>
      </w:pPr>
    </w:p>
    <w:p w14:paraId="781E5731">
      <w:pPr>
        <w:pStyle w:val="3"/>
        <w:rPr>
          <w:sz w:val="24"/>
        </w:rPr>
      </w:pPr>
    </w:p>
    <w:p w14:paraId="4600E971">
      <w:pPr>
        <w:pStyle w:val="3"/>
        <w:rPr>
          <w:sz w:val="24"/>
        </w:rPr>
      </w:pPr>
    </w:p>
    <w:p w14:paraId="6FFFEC11">
      <w:pPr>
        <w:pStyle w:val="3"/>
        <w:rPr>
          <w:sz w:val="24"/>
        </w:rPr>
      </w:pPr>
    </w:p>
    <w:p w14:paraId="42803AD5">
      <w:pPr>
        <w:pStyle w:val="3"/>
        <w:rPr>
          <w:sz w:val="24"/>
        </w:rPr>
      </w:pPr>
    </w:p>
    <w:p w14:paraId="0214F50E">
      <w:pPr>
        <w:pStyle w:val="3"/>
        <w:spacing w:before="10"/>
        <w:rPr>
          <w:sz w:val="34"/>
        </w:rPr>
      </w:pPr>
    </w:p>
    <w:p w14:paraId="6EA170E5">
      <w:pPr>
        <w:spacing w:before="0"/>
        <w:ind w:left="174" w:right="0" w:firstLine="0"/>
        <w:jc w:val="left"/>
        <w:rPr>
          <w:rFonts w:hint="eastAsia" w:ascii="方正小标宋_GBK" w:eastAsia="方正小标宋_GBK"/>
          <w:sz w:val="40"/>
        </w:rPr>
      </w:pPr>
      <w:r>
        <w:rPr>
          <w:rFonts w:hint="eastAsia" w:ascii="方正小标宋_GBK" w:eastAsia="方正小标宋_GBK"/>
          <w:color w:val="231F20"/>
          <w:sz w:val="40"/>
        </w:rPr>
        <w:t>集体林权流转合同</w:t>
      </w:r>
    </w:p>
    <w:p w14:paraId="279FBC0B">
      <w:pPr>
        <w:pStyle w:val="3"/>
        <w:rPr>
          <w:rFonts w:ascii="方正楷体_GBK"/>
          <w:sz w:val="30"/>
        </w:rPr>
      </w:pPr>
    </w:p>
    <w:p w14:paraId="1469D5A7">
      <w:pPr>
        <w:pStyle w:val="3"/>
        <w:rPr>
          <w:rFonts w:ascii="方正楷体_GBK"/>
          <w:sz w:val="30"/>
        </w:rPr>
      </w:pPr>
    </w:p>
    <w:p w14:paraId="273A41CA">
      <w:pPr>
        <w:pStyle w:val="3"/>
        <w:rPr>
          <w:rFonts w:ascii="方正楷体_GBK"/>
          <w:sz w:val="30"/>
        </w:rPr>
      </w:pPr>
    </w:p>
    <w:p w14:paraId="353CD23F">
      <w:pPr>
        <w:pStyle w:val="3"/>
        <w:rPr>
          <w:rFonts w:ascii="方正楷体_GBK"/>
          <w:sz w:val="30"/>
        </w:rPr>
      </w:pPr>
    </w:p>
    <w:p w14:paraId="355C1FD5">
      <w:pPr>
        <w:pStyle w:val="3"/>
        <w:rPr>
          <w:rFonts w:ascii="方正楷体_GBK"/>
          <w:sz w:val="30"/>
        </w:rPr>
      </w:pPr>
    </w:p>
    <w:p w14:paraId="5A7376A6">
      <w:pPr>
        <w:pStyle w:val="3"/>
        <w:rPr>
          <w:rFonts w:ascii="方正楷体_GBK"/>
          <w:sz w:val="30"/>
        </w:rPr>
      </w:pPr>
    </w:p>
    <w:p w14:paraId="282D900B">
      <w:pPr>
        <w:pStyle w:val="3"/>
        <w:rPr>
          <w:rFonts w:ascii="方正楷体_GBK"/>
          <w:sz w:val="30"/>
        </w:rPr>
      </w:pPr>
    </w:p>
    <w:p w14:paraId="18E6A817">
      <w:pPr>
        <w:pStyle w:val="3"/>
        <w:rPr>
          <w:rFonts w:ascii="方正楷体_GBK"/>
          <w:sz w:val="30"/>
        </w:rPr>
      </w:pPr>
    </w:p>
    <w:p w14:paraId="36766F19">
      <w:pPr>
        <w:pStyle w:val="3"/>
        <w:rPr>
          <w:rFonts w:ascii="方正楷体_GBK"/>
          <w:sz w:val="30"/>
        </w:rPr>
      </w:pPr>
    </w:p>
    <w:p w14:paraId="40C5EC8F">
      <w:pPr>
        <w:pStyle w:val="3"/>
        <w:rPr>
          <w:rFonts w:ascii="方正楷体_GBK"/>
          <w:sz w:val="30"/>
        </w:rPr>
      </w:pPr>
    </w:p>
    <w:p w14:paraId="6DFD356A">
      <w:pPr>
        <w:pStyle w:val="3"/>
        <w:rPr>
          <w:rFonts w:ascii="方正楷体_GBK"/>
          <w:sz w:val="30"/>
        </w:rPr>
      </w:pPr>
    </w:p>
    <w:p w14:paraId="3B40D778">
      <w:pPr>
        <w:pStyle w:val="3"/>
        <w:rPr>
          <w:rFonts w:ascii="方正楷体_GBK"/>
          <w:sz w:val="30"/>
        </w:rPr>
      </w:pPr>
    </w:p>
    <w:p w14:paraId="548A91F0">
      <w:pPr>
        <w:pStyle w:val="3"/>
        <w:rPr>
          <w:rFonts w:ascii="方正楷体_GBK"/>
          <w:sz w:val="30"/>
        </w:rPr>
      </w:pPr>
    </w:p>
    <w:p w14:paraId="4365F309">
      <w:pPr>
        <w:pStyle w:val="3"/>
        <w:rPr>
          <w:rFonts w:ascii="方正楷体_GBK"/>
          <w:sz w:val="30"/>
        </w:rPr>
      </w:pPr>
    </w:p>
    <w:p w14:paraId="56D07096">
      <w:pPr>
        <w:pStyle w:val="3"/>
        <w:rPr>
          <w:rFonts w:ascii="方正楷体_GBK"/>
          <w:sz w:val="30"/>
        </w:rPr>
      </w:pPr>
    </w:p>
    <w:p w14:paraId="514E59A9">
      <w:pPr>
        <w:pStyle w:val="3"/>
        <w:rPr>
          <w:rFonts w:ascii="方正楷体_GBK"/>
          <w:sz w:val="30"/>
        </w:rPr>
      </w:pPr>
    </w:p>
    <w:p w14:paraId="298B8217">
      <w:pPr>
        <w:spacing w:before="221"/>
        <w:ind w:left="117" w:right="0" w:firstLine="0"/>
        <w:jc w:val="left"/>
        <w:rPr>
          <w:rFonts w:hint="eastAsia" w:ascii="方正楷体_GBK" w:eastAsia="方正楷体_GBK"/>
          <w:sz w:val="28"/>
        </w:rPr>
      </w:pPr>
      <w:r>
        <w:rPr>
          <w:rFonts w:hint="eastAsia" w:ascii="方正楷体_GBK" w:eastAsia="方正楷体_GBK"/>
          <w:color w:val="231F20"/>
          <w:sz w:val="28"/>
        </w:rPr>
        <w:t xml:space="preserve">国 家 林 业 和 草 原 局 </w:t>
      </w:r>
    </w:p>
    <w:p w14:paraId="55292C89">
      <w:pPr>
        <w:tabs>
          <w:tab w:val="left" w:pos="3197"/>
        </w:tabs>
        <w:spacing w:before="42" w:line="266" w:lineRule="auto"/>
        <w:ind w:left="957" w:right="2668" w:hanging="840"/>
        <w:jc w:val="left"/>
        <w:rPr>
          <w:rFonts w:hint="eastAsia" w:ascii="方正楷体_GBK" w:hAnsi="方正楷体_GBK" w:eastAsia="方正楷体_GBK"/>
          <w:sz w:val="28"/>
        </w:rPr>
      </w:pPr>
      <w:r>
        <w:rPr>
          <w:rFonts w:hint="eastAsia" w:ascii="方正楷体_GBK" w:hAnsi="方正楷体_GBK" w:eastAsia="方正楷体_GBK"/>
          <w:color w:val="231F20"/>
          <w:sz w:val="28"/>
        </w:rPr>
        <w:t>国家市场监督管理总局</w:t>
      </w:r>
      <w:r>
        <w:rPr>
          <w:rFonts w:hint="eastAsia" w:ascii="方正楷体_GBK" w:hAnsi="方正楷体_GBK" w:eastAsia="方正楷体_GBK"/>
          <w:color w:val="231F20"/>
          <w:sz w:val="28"/>
        </w:rPr>
        <w:tab/>
      </w:r>
      <w:r>
        <w:rPr>
          <w:rFonts w:hint="eastAsia" w:ascii="方正楷体_GBK" w:hAnsi="方正楷体_GBK" w:eastAsia="方正楷体_GBK"/>
          <w:color w:val="231F20"/>
          <w:sz w:val="28"/>
        </w:rPr>
        <w:t>制定二○二○年五月</w:t>
      </w:r>
    </w:p>
    <w:p w14:paraId="5188B72B">
      <w:pPr>
        <w:spacing w:after="0" w:line="266" w:lineRule="auto"/>
        <w:jc w:val="left"/>
        <w:rPr>
          <w:rFonts w:hint="eastAsia" w:ascii="方正楷体_GBK" w:hAnsi="方正楷体_GBK" w:eastAsia="方正楷体_GBK"/>
          <w:sz w:val="28"/>
        </w:rPr>
        <w:sectPr>
          <w:footerReference r:id="rId5" w:type="default"/>
          <w:footerReference r:id="rId6" w:type="even"/>
          <w:type w:val="continuous"/>
          <w:pgSz w:w="11910" w:h="16840"/>
          <w:pgMar w:top="1580" w:right="1300" w:bottom="1020" w:left="1300" w:header="720" w:footer="832" w:gutter="0"/>
          <w:pgNumType w:start="1"/>
          <w:cols w:equalWidth="0" w:num="2">
            <w:col w:w="2075" w:space="803"/>
            <w:col w:w="6432"/>
          </w:cols>
        </w:sectPr>
      </w:pPr>
    </w:p>
    <w:p w14:paraId="16A09A2A">
      <w:pPr>
        <w:pStyle w:val="3"/>
        <w:rPr>
          <w:rFonts w:ascii="方正楷体_GBK"/>
          <w:sz w:val="20"/>
        </w:rPr>
      </w:pPr>
    </w:p>
    <w:p w14:paraId="6F3A672B">
      <w:pPr>
        <w:pStyle w:val="3"/>
        <w:rPr>
          <w:rFonts w:ascii="方正楷体_GBK"/>
          <w:sz w:val="20"/>
        </w:rPr>
      </w:pPr>
    </w:p>
    <w:p w14:paraId="29DBEF52">
      <w:pPr>
        <w:pStyle w:val="3"/>
        <w:spacing w:before="4"/>
        <w:rPr>
          <w:rFonts w:ascii="方正楷体_GBK"/>
          <w:sz w:val="14"/>
        </w:rPr>
      </w:pPr>
    </w:p>
    <w:p w14:paraId="47E57D1B">
      <w:pPr>
        <w:spacing w:before="3"/>
        <w:ind w:left="4092" w:right="0" w:firstLine="0"/>
        <w:jc w:val="left"/>
        <w:rPr>
          <w:rFonts w:hint="eastAsia" w:ascii="方正黑体_GBK" w:eastAsia="方正黑体_GBK"/>
          <w:sz w:val="28"/>
        </w:rPr>
      </w:pPr>
      <w:r>
        <w:rPr>
          <w:rFonts w:hint="eastAsia" w:ascii="方正黑体_GBK" w:eastAsia="方正黑体_GBK"/>
          <w:color w:val="231F20"/>
          <w:sz w:val="28"/>
        </w:rPr>
        <w:t>使用说明</w:t>
      </w:r>
    </w:p>
    <w:p w14:paraId="74567DC9">
      <w:pPr>
        <w:pStyle w:val="3"/>
        <w:spacing w:before="13"/>
        <w:rPr>
          <w:rFonts w:ascii="方正黑体_GBK"/>
          <w:sz w:val="26"/>
        </w:rPr>
      </w:pPr>
    </w:p>
    <w:p w14:paraId="27BF02E5">
      <w:pPr>
        <w:pStyle w:val="3"/>
        <w:spacing w:before="1" w:line="319" w:lineRule="auto"/>
        <w:ind w:left="117" w:right="110" w:firstLine="440"/>
        <w:jc w:val="both"/>
      </w:pPr>
      <w:r>
        <w:rPr>
          <w:color w:val="231F20"/>
        </w:rPr>
        <w:t>一、本合同为示范文本，由国家林业和草原局与国家市场监督管理总局联合制定，供集体林权流转当事人签订合同时参照使用。</w:t>
      </w:r>
    </w:p>
    <w:p w14:paraId="7A542EF9">
      <w:pPr>
        <w:pStyle w:val="3"/>
        <w:spacing w:before="26" w:line="319" w:lineRule="auto"/>
        <w:ind w:left="117" w:right="108" w:firstLine="440"/>
        <w:jc w:val="both"/>
      </w:pPr>
      <w:r>
        <w:rPr>
          <w:color w:val="231F20"/>
        </w:rPr>
        <w:t>二、合同签订前，双方当事人应当仔细阅读本合同内容，特别是其中具有选择性、补充性、填充性、修改性的内容；对合同中的专业用词理解不一致的，可向当地林业主管部门咨询。</w:t>
      </w:r>
    </w:p>
    <w:p w14:paraId="5F493958">
      <w:pPr>
        <w:pStyle w:val="3"/>
        <w:spacing w:before="26" w:line="319" w:lineRule="auto"/>
        <w:ind w:left="117" w:right="110" w:firstLine="440"/>
        <w:jc w:val="both"/>
      </w:pPr>
      <w:r>
        <w:rPr>
          <w:color w:val="231F20"/>
        </w:rPr>
        <w:t>三、本合同文本中相关条款后都有空白行，供双方自行约定或者补充约定。双方当事人可以对文本条款的内容进行修改、增补或者删减。合同签订生效后 , 未被修改的文本印刷文字视为双方同意内容。</w:t>
      </w:r>
    </w:p>
    <w:p w14:paraId="3E832C9C">
      <w:pPr>
        <w:pStyle w:val="3"/>
        <w:spacing w:before="26"/>
        <w:ind w:left="557"/>
      </w:pPr>
      <w:r>
        <w:rPr>
          <w:color w:val="231F20"/>
        </w:rPr>
        <w:t>四、双方当事人应当结合具体情况选择本合同协议条款中所提供的选择项，在选择项前的</w:t>
      </w:r>
    </w:p>
    <w:p w14:paraId="523837AB">
      <w:pPr>
        <w:pStyle w:val="3"/>
        <w:spacing w:before="109"/>
        <w:ind w:left="117"/>
      </w:pPr>
      <w:r>
        <w:rPr>
          <w:color w:val="231F20"/>
        </w:rPr>
        <w:t>□打√。</w:t>
      </w:r>
    </w:p>
    <w:p w14:paraId="6D355332">
      <w:pPr>
        <w:pStyle w:val="3"/>
        <w:spacing w:before="109"/>
        <w:ind w:left="557"/>
      </w:pPr>
      <w:r>
        <w:rPr>
          <w:color w:val="231F20"/>
        </w:rPr>
        <w:t>五、本合同文本中涉及到的选择、填写内容以手写项为优先。</w:t>
      </w:r>
    </w:p>
    <w:p w14:paraId="51AB7923">
      <w:pPr>
        <w:pStyle w:val="3"/>
        <w:spacing w:before="109"/>
        <w:ind w:left="557"/>
      </w:pPr>
      <w:r>
        <w:rPr>
          <w:color w:val="231F20"/>
        </w:rPr>
        <w:t>六、当事人订立合同的，应当在合同书上签字并盖章或者摁手印。</w:t>
      </w:r>
    </w:p>
    <w:p w14:paraId="673DD893">
      <w:pPr>
        <w:pStyle w:val="3"/>
        <w:spacing w:before="109" w:line="319" w:lineRule="auto"/>
        <w:ind w:left="117" w:right="110" w:firstLine="440"/>
        <w:jc w:val="both"/>
      </w:pPr>
      <w:r>
        <w:rPr>
          <w:color w:val="231F20"/>
        </w:rPr>
        <w:t>七、统一社会信用代码，自然人填写身份证号码，市场主体填写市场监管部门赋予的统一社会信用代码，村集体经济组织填写农业农村部门赋予的统一社会信用代码。</w:t>
      </w:r>
    </w:p>
    <w:p w14:paraId="5E398518">
      <w:pPr>
        <w:pStyle w:val="3"/>
        <w:spacing w:before="26"/>
        <w:ind w:left="557"/>
      </w:pPr>
      <w:r>
        <w:rPr>
          <w:color w:val="231F20"/>
        </w:rPr>
        <w:t>八、本合同编号由县级林业主管部门按统一规则填写。</w:t>
      </w:r>
    </w:p>
    <w:p w14:paraId="1650439D">
      <w:pPr>
        <w:spacing w:after="0"/>
        <w:sectPr>
          <w:pgSz w:w="11910" w:h="16840"/>
          <w:pgMar w:top="1580" w:right="1300" w:bottom="1020" w:left="1300" w:header="0" w:footer="832" w:gutter="0"/>
          <w:cols w:space="720" w:num="1"/>
        </w:sectPr>
      </w:pPr>
    </w:p>
    <w:p w14:paraId="1136AF94">
      <w:pPr>
        <w:pStyle w:val="3"/>
        <w:spacing w:before="13"/>
        <w:rPr>
          <w:sz w:val="28"/>
        </w:rPr>
      </w:pPr>
    </w:p>
    <w:p w14:paraId="2A287C76">
      <w:pPr>
        <w:pStyle w:val="3"/>
        <w:tabs>
          <w:tab w:val="left" w:pos="2499"/>
        </w:tabs>
        <w:spacing w:before="24"/>
        <w:ind w:right="215"/>
        <w:jc w:val="right"/>
        <w:rPr>
          <w:rFonts w:hint="eastAsia" w:ascii="方正黑体_GBK" w:eastAsia="方正黑体_GBK"/>
        </w:rPr>
      </w:pPr>
      <w:r>
        <w:rPr>
          <w:rFonts w:hint="eastAsia" w:ascii="方正黑体_GBK" w:eastAsia="方正黑体_GBK"/>
          <w:color w:val="231F20"/>
        </w:rPr>
        <w:t>合同编号</w:t>
      </w:r>
      <w:r>
        <w:rPr>
          <w:rFonts w:hint="eastAsia" w:ascii="方正黑体_GBK" w:eastAsia="方正黑体_GBK"/>
          <w:color w:val="231F20"/>
          <w:u w:val="single" w:color="231F20"/>
        </w:rPr>
        <w:t>：</w:t>
      </w:r>
      <w:r>
        <w:rPr>
          <w:rFonts w:hint="eastAsia" w:ascii="方正黑体_GBK" w:eastAsia="方正黑体_GBK"/>
          <w:color w:val="231F20"/>
          <w:u w:val="single" w:color="231F20"/>
        </w:rPr>
        <w:tab/>
      </w:r>
    </w:p>
    <w:p w14:paraId="50CEFBEC">
      <w:pPr>
        <w:pStyle w:val="3"/>
        <w:rPr>
          <w:rFonts w:ascii="方正黑体_GBK"/>
          <w:sz w:val="20"/>
        </w:rPr>
      </w:pPr>
    </w:p>
    <w:p w14:paraId="1CF69A13">
      <w:pPr>
        <w:pStyle w:val="3"/>
        <w:rPr>
          <w:rFonts w:ascii="方正黑体_GBK"/>
          <w:sz w:val="20"/>
        </w:rPr>
      </w:pPr>
    </w:p>
    <w:p w14:paraId="3D8B7C83">
      <w:pPr>
        <w:pStyle w:val="3"/>
        <w:spacing w:before="1"/>
        <w:rPr>
          <w:rFonts w:ascii="方正黑体_GBK"/>
          <w:sz w:val="19"/>
        </w:rPr>
      </w:pPr>
    </w:p>
    <w:p w14:paraId="08D4FB62">
      <w:pPr>
        <w:pStyle w:val="2"/>
        <w:ind w:left="3532"/>
        <w:rPr>
          <w:rFonts w:hint="eastAsia" w:ascii="方正黑体_GBK" w:eastAsia="方正黑体_GBK"/>
        </w:rPr>
      </w:pPr>
      <w:r>
        <w:rPr>
          <w:rFonts w:hint="eastAsia" w:ascii="方正黑体_GBK" w:eastAsia="方正黑体_GBK"/>
          <w:color w:val="231F20"/>
        </w:rPr>
        <w:t>集体林权流转合同</w:t>
      </w:r>
    </w:p>
    <w:p w14:paraId="57D20221">
      <w:pPr>
        <w:pStyle w:val="3"/>
        <w:spacing w:before="14"/>
        <w:rPr>
          <w:rFonts w:ascii="方正黑体_GBK"/>
          <w:sz w:val="26"/>
        </w:rPr>
      </w:pPr>
    </w:p>
    <w:p w14:paraId="07F0FD3E">
      <w:pPr>
        <w:pStyle w:val="3"/>
        <w:tabs>
          <w:tab w:val="left" w:pos="4657"/>
          <w:tab w:val="left" w:pos="9188"/>
        </w:tabs>
        <w:spacing w:line="319" w:lineRule="auto"/>
        <w:ind w:left="557" w:right="215"/>
        <w:jc w:val="both"/>
        <w:rPr>
          <w:rFonts w:hint="default"/>
          <w:color w:val="231F20"/>
          <w:spacing w:val="-28"/>
          <w:lang w:val="en-US" w:eastAsia="zh-CN"/>
        </w:rPr>
      </w:pPr>
      <w:r>
        <w:rPr>
          <w:color w:val="231F20"/>
        </w:rPr>
        <w:t>甲方（出让方</w:t>
      </w:r>
      <w:r>
        <w:rPr>
          <w:color w:val="231F20"/>
          <w:spacing w:val="-28"/>
        </w:rPr>
        <w:t>）：</w:t>
      </w:r>
      <w:r>
        <w:rPr>
          <w:rFonts w:hint="eastAsia"/>
          <w:color w:val="231F20"/>
          <w:spacing w:val="-28"/>
          <w:u w:val="single"/>
          <w:lang w:eastAsia="zh-CN"/>
        </w:rPr>
        <w:t>东</w:t>
      </w:r>
      <w:r>
        <w:rPr>
          <w:rFonts w:hint="eastAsia"/>
          <w:color w:val="231F20"/>
          <w:spacing w:val="-28"/>
          <w:u w:val="single"/>
          <w:lang w:val="en-US" w:eastAsia="zh-CN"/>
        </w:rPr>
        <w:t xml:space="preserve"> </w:t>
      </w:r>
      <w:r>
        <w:rPr>
          <w:rFonts w:hint="eastAsia"/>
          <w:color w:val="231F20"/>
          <w:spacing w:val="-28"/>
          <w:u w:val="single"/>
          <w:lang w:eastAsia="zh-CN"/>
        </w:rPr>
        <w:t>方</w:t>
      </w:r>
      <w:r>
        <w:rPr>
          <w:rFonts w:hint="eastAsia"/>
          <w:color w:val="231F20"/>
          <w:spacing w:val="-28"/>
          <w:u w:val="single"/>
          <w:lang w:val="en-US" w:eastAsia="zh-CN"/>
        </w:rPr>
        <w:t xml:space="preserve"> </w:t>
      </w:r>
      <w:r>
        <w:rPr>
          <w:rFonts w:hint="eastAsia"/>
          <w:color w:val="231F20"/>
          <w:spacing w:val="-28"/>
          <w:u w:val="single"/>
          <w:lang w:eastAsia="zh-CN"/>
        </w:rPr>
        <w:t>市</w:t>
      </w:r>
      <w:r>
        <w:rPr>
          <w:rFonts w:hint="eastAsia"/>
          <w:color w:val="231F20"/>
          <w:spacing w:val="-28"/>
          <w:u w:val="single"/>
          <w:lang w:val="en-US" w:eastAsia="zh-CN"/>
        </w:rPr>
        <w:t xml:space="preserve"> </w:t>
      </w:r>
      <w:r>
        <w:rPr>
          <w:rFonts w:hint="eastAsia"/>
          <w:color w:val="231F20"/>
          <w:spacing w:val="-28"/>
          <w:u w:val="single"/>
          <w:lang w:eastAsia="zh-CN"/>
        </w:rPr>
        <w:t>四</w:t>
      </w:r>
      <w:r>
        <w:rPr>
          <w:rFonts w:hint="eastAsia"/>
          <w:color w:val="231F20"/>
          <w:spacing w:val="-28"/>
          <w:u w:val="single"/>
          <w:lang w:val="en-US" w:eastAsia="zh-CN"/>
        </w:rPr>
        <w:t xml:space="preserve"> </w:t>
      </w:r>
      <w:r>
        <w:rPr>
          <w:rFonts w:hint="eastAsia"/>
          <w:color w:val="231F20"/>
          <w:spacing w:val="-28"/>
          <w:u w:val="single"/>
          <w:lang w:eastAsia="zh-CN"/>
        </w:rPr>
        <w:t>更</w:t>
      </w:r>
      <w:r>
        <w:rPr>
          <w:rFonts w:hint="eastAsia"/>
          <w:color w:val="231F20"/>
          <w:spacing w:val="-28"/>
          <w:u w:val="single"/>
          <w:lang w:val="en-US" w:eastAsia="zh-CN"/>
        </w:rPr>
        <w:t xml:space="preserve"> </w:t>
      </w:r>
      <w:r>
        <w:rPr>
          <w:rFonts w:hint="eastAsia"/>
          <w:color w:val="231F20"/>
          <w:spacing w:val="-28"/>
          <w:u w:val="single"/>
          <w:lang w:eastAsia="zh-CN"/>
        </w:rPr>
        <w:t>镇</w:t>
      </w:r>
      <w:r>
        <w:rPr>
          <w:rFonts w:hint="eastAsia"/>
          <w:color w:val="231F20"/>
          <w:spacing w:val="-28"/>
          <w:u w:val="single"/>
          <w:lang w:val="en-US" w:eastAsia="zh-CN"/>
        </w:rPr>
        <w:t xml:space="preserve"> </w:t>
      </w:r>
      <w:r>
        <w:rPr>
          <w:rFonts w:hint="eastAsia"/>
          <w:color w:val="231F20"/>
          <w:spacing w:val="-28"/>
          <w:u w:val="single"/>
          <w:lang w:eastAsia="zh-CN"/>
        </w:rPr>
        <w:t>付</w:t>
      </w:r>
      <w:r>
        <w:rPr>
          <w:rFonts w:hint="eastAsia"/>
          <w:color w:val="231F20"/>
          <w:spacing w:val="-28"/>
          <w:u w:val="single"/>
          <w:lang w:val="en-US" w:eastAsia="zh-CN"/>
        </w:rPr>
        <w:t xml:space="preserve"> </w:t>
      </w:r>
      <w:r>
        <w:rPr>
          <w:rFonts w:hint="eastAsia"/>
          <w:color w:val="231F20"/>
          <w:spacing w:val="-28"/>
          <w:u w:val="single"/>
          <w:lang w:eastAsia="zh-CN"/>
        </w:rPr>
        <w:t>马</w:t>
      </w:r>
      <w:r>
        <w:rPr>
          <w:rFonts w:hint="eastAsia"/>
          <w:color w:val="231F20"/>
          <w:spacing w:val="-28"/>
          <w:u w:val="single"/>
          <w:lang w:val="en-US" w:eastAsia="zh-CN"/>
        </w:rPr>
        <w:t xml:space="preserve"> </w:t>
      </w:r>
      <w:r>
        <w:rPr>
          <w:rFonts w:hint="eastAsia"/>
          <w:color w:val="231F20"/>
          <w:spacing w:val="-28"/>
          <w:u w:val="single"/>
          <w:lang w:eastAsia="zh-CN"/>
        </w:rPr>
        <w:t>村</w:t>
      </w:r>
      <w:r>
        <w:rPr>
          <w:rFonts w:hint="eastAsia"/>
          <w:color w:val="231F20"/>
          <w:spacing w:val="-28"/>
          <w:u w:val="single"/>
          <w:lang w:val="en-US" w:eastAsia="zh-CN"/>
        </w:rPr>
        <w:t xml:space="preserve"> 股 份 经 济 合 作 社</w:t>
      </w:r>
    </w:p>
    <w:p w14:paraId="56176304">
      <w:pPr>
        <w:pStyle w:val="3"/>
        <w:tabs>
          <w:tab w:val="left" w:pos="4657"/>
          <w:tab w:val="left" w:pos="9188"/>
        </w:tabs>
        <w:spacing w:line="319" w:lineRule="auto"/>
        <w:ind w:left="557" w:right="215"/>
        <w:jc w:val="both"/>
        <w:rPr>
          <w:rFonts w:hint="default" w:eastAsia="方正书宋_GBK"/>
          <w:color w:val="231F20"/>
          <w:lang w:val="en-US" w:eastAsia="zh-CN"/>
        </w:rPr>
      </w:pPr>
      <w:r>
        <w:rPr>
          <w:color w:val="231F20"/>
        </w:rPr>
        <w:t xml:space="preserve">统一社会信用代码 : </w:t>
      </w:r>
      <w:r>
        <w:rPr>
          <w:rFonts w:hint="eastAsia"/>
          <w:color w:val="231F20"/>
          <w:u w:val="single"/>
          <w:lang w:val="en-US" w:eastAsia="zh-CN"/>
        </w:rPr>
        <w:t>N2469007MF0162725H</w:t>
      </w:r>
    </w:p>
    <w:p w14:paraId="2D74372F">
      <w:pPr>
        <w:pStyle w:val="3"/>
        <w:tabs>
          <w:tab w:val="left" w:pos="4657"/>
          <w:tab w:val="left" w:pos="9188"/>
        </w:tabs>
        <w:spacing w:line="319" w:lineRule="auto"/>
        <w:ind w:left="557" w:right="215"/>
        <w:jc w:val="both"/>
      </w:pPr>
      <w:r>
        <w:rPr>
          <w:color w:val="231F20"/>
        </w:rPr>
        <w:t>法定代表人（负责人</w:t>
      </w:r>
      <w:r>
        <w:rPr>
          <w:color w:val="231F20"/>
          <w:spacing w:val="-28"/>
        </w:rPr>
        <w:t>）：</w:t>
      </w:r>
      <w:r>
        <w:rPr>
          <w:rFonts w:hint="eastAsia"/>
          <w:color w:val="231F20"/>
          <w:spacing w:val="-28"/>
          <w:u w:val="single"/>
          <w:lang w:eastAsia="zh-CN"/>
        </w:rPr>
        <w:t>文昌良</w:t>
      </w:r>
      <w:r>
        <w:rPr>
          <w:color w:val="231F20"/>
          <w:spacing w:val="-28"/>
          <w:u w:val="single"/>
        </w:rPr>
        <w:tab/>
      </w:r>
      <w:r>
        <w:rPr>
          <w:color w:val="231F20"/>
        </w:rPr>
        <w:t>身份证号码</w:t>
      </w:r>
      <w:r>
        <w:rPr>
          <w:color w:val="231F20"/>
          <w:u w:val="single" w:color="231F20"/>
        </w:rPr>
        <w:t>：</w:t>
      </w:r>
      <w:r>
        <w:rPr>
          <w:rFonts w:hint="eastAsia"/>
          <w:color w:val="231F20"/>
          <w:u w:val="single" w:color="231F20"/>
          <w:lang w:val="en-US" w:eastAsia="zh-CN"/>
        </w:rPr>
        <w:t>460007197606285031</w:t>
      </w:r>
      <w:r>
        <w:rPr>
          <w:color w:val="231F20"/>
          <w:u w:val="single" w:color="231F20"/>
        </w:rPr>
        <w:tab/>
      </w:r>
      <w:r>
        <w:rPr>
          <w:color w:val="231F20"/>
          <w:u w:val="single" w:color="231F20"/>
        </w:rPr>
        <w:t xml:space="preserve"> </w:t>
      </w:r>
      <w:r>
        <w:rPr>
          <w:color w:val="231F20"/>
        </w:rPr>
        <w:t>联系地址</w:t>
      </w:r>
      <w:r>
        <w:rPr>
          <w:color w:val="231F20"/>
          <w:u w:val="single" w:color="231F20"/>
        </w:rPr>
        <w:t>：</w:t>
      </w:r>
      <w:r>
        <w:rPr>
          <w:rFonts w:hint="eastAsia"/>
          <w:color w:val="231F20"/>
          <w:u w:val="single" w:color="231F20"/>
          <w:lang w:val="en-US" w:eastAsia="zh-CN"/>
        </w:rPr>
        <w:t>海南省东方市四更镇</w:t>
      </w:r>
      <w:r>
        <w:rPr>
          <w:rFonts w:hint="eastAsia"/>
          <w:color w:val="231F20"/>
          <w:u w:val="single" w:color="231F20"/>
          <w:lang w:eastAsia="zh-CN"/>
        </w:rPr>
        <w:t>付马村委会</w:t>
      </w:r>
      <w:r>
        <w:rPr>
          <w:rFonts w:hint="eastAsia"/>
          <w:color w:val="231F20"/>
          <w:u w:val="single" w:color="231F20"/>
          <w:lang w:val="en-US" w:eastAsia="zh-CN"/>
        </w:rPr>
        <w:t xml:space="preserve">  </w:t>
      </w:r>
      <w:r>
        <w:rPr>
          <w:color w:val="231F20"/>
        </w:rPr>
        <w:t>联系电话</w:t>
      </w:r>
      <w:r>
        <w:rPr>
          <w:color w:val="231F20"/>
          <w:u w:val="single" w:color="231F20"/>
        </w:rPr>
        <w:t>：</w:t>
      </w:r>
      <w:r>
        <w:rPr>
          <w:rFonts w:hint="eastAsia"/>
          <w:color w:val="231F20"/>
          <w:u w:val="single" w:color="231F20"/>
          <w:lang w:val="en-US" w:eastAsia="zh-CN"/>
        </w:rPr>
        <w:t>13876471896</w:t>
      </w:r>
      <w:r>
        <w:rPr>
          <w:color w:val="231F20"/>
          <w:u w:val="single" w:color="231F20"/>
        </w:rPr>
        <w:tab/>
      </w:r>
      <w:r>
        <w:rPr>
          <w:color w:val="231F20"/>
          <w:u w:val="single" w:color="231F20"/>
        </w:rPr>
        <w:t xml:space="preserve"> </w:t>
      </w:r>
      <w:r>
        <w:rPr>
          <w:color w:val="231F20"/>
        </w:rPr>
        <w:t>经营主体类型</w:t>
      </w:r>
      <w:r>
        <w:rPr>
          <w:color w:val="231F20"/>
          <w:spacing w:val="-28"/>
        </w:rPr>
        <w:t>：□</w:t>
      </w:r>
      <w:r>
        <w:rPr>
          <w:color w:val="231F20"/>
        </w:rPr>
        <w:t>自然人</w:t>
      </w:r>
      <w:r>
        <w:rPr>
          <w:color w:val="231F20"/>
          <w:spacing w:val="20"/>
        </w:rPr>
        <w:t xml:space="preserve"> </w:t>
      </w:r>
      <w:r>
        <w:rPr>
          <w:color w:val="231F20"/>
        </w:rPr>
        <w:t xml:space="preserve">□农民合作社 </w:t>
      </w:r>
      <w:r>
        <w:rPr>
          <w:color w:val="231F20"/>
          <w:spacing w:val="10"/>
        </w:rPr>
        <w:t xml:space="preserve"> </w:t>
      </w:r>
      <w:r>
        <w:rPr>
          <w:rFonts w:hint="eastAsia"/>
          <w:color w:val="231F20"/>
          <w:lang w:eastAsia="zh-CN"/>
        </w:rPr>
        <w:t>☑</w:t>
      </w:r>
      <w:r>
        <w:rPr>
          <w:color w:val="231F20"/>
        </w:rPr>
        <w:t>集体经济组织</w:t>
      </w:r>
    </w:p>
    <w:p w14:paraId="53263FD3">
      <w:pPr>
        <w:pStyle w:val="3"/>
        <w:tabs>
          <w:tab w:val="left" w:pos="3717"/>
          <w:tab w:val="left" w:pos="5157"/>
        </w:tabs>
        <w:spacing w:before="25"/>
        <w:ind w:left="2097"/>
      </w:pPr>
      <w:r>
        <w:rPr>
          <w:color w:val="231F20"/>
        </w:rPr>
        <w:t>□企业法人</w:t>
      </w:r>
      <w:r>
        <w:rPr>
          <w:color w:val="231F20"/>
        </w:rPr>
        <w:tab/>
      </w:r>
      <w:r>
        <w:rPr>
          <w:color w:val="231F20"/>
        </w:rPr>
        <w:t>□事业法人</w:t>
      </w:r>
      <w:r>
        <w:rPr>
          <w:color w:val="231F20"/>
        </w:rPr>
        <w:tab/>
      </w:r>
      <w:r>
        <w:rPr>
          <w:color w:val="231F20"/>
        </w:rPr>
        <w:t>□其他</w:t>
      </w:r>
    </w:p>
    <w:p w14:paraId="247232EA">
      <w:pPr>
        <w:pStyle w:val="3"/>
        <w:spacing w:line="20" w:lineRule="exact"/>
        <w:ind w:left="5871"/>
        <w:rPr>
          <w:sz w:val="2"/>
        </w:rPr>
      </w:pPr>
      <w:r>
        <w:rPr>
          <w:sz w:val="2"/>
        </w:rPr>
        <w:pict>
          <v:group id="_x0000_s1026" o:spid="_x0000_s1026" o:spt="203" style="height:0.3pt;width:0.3pt;" coordsize="6,6">
            <o:lock v:ext="edit"/>
            <v:line id="_x0000_s1027" o:spid="_x0000_s1027" o:spt="20" style="position:absolute;left:0;top:3;height:0;width:6;" stroked="t" coordsize="21600,21600">
              <v:path arrowok="t"/>
              <v:fill focussize="0,0"/>
              <v:stroke weight="0.282992125984252pt" color="#231F20"/>
              <v:imagedata o:title=""/>
              <o:lock v:ext="edit"/>
            </v:line>
            <w10:wrap type="none"/>
            <w10:anchorlock/>
          </v:group>
        </w:pict>
      </w:r>
    </w:p>
    <w:p w14:paraId="2D7D7DDE">
      <w:pPr>
        <w:pStyle w:val="3"/>
        <w:rPr>
          <w:sz w:val="24"/>
        </w:rPr>
      </w:pPr>
    </w:p>
    <w:p w14:paraId="2FC7F2B2">
      <w:pPr>
        <w:pStyle w:val="3"/>
        <w:rPr>
          <w:sz w:val="24"/>
        </w:rPr>
      </w:pPr>
    </w:p>
    <w:p w14:paraId="14F04ADB">
      <w:pPr>
        <w:pStyle w:val="3"/>
        <w:rPr>
          <w:sz w:val="24"/>
        </w:rPr>
      </w:pPr>
    </w:p>
    <w:p w14:paraId="0162BDD2">
      <w:pPr>
        <w:pStyle w:val="3"/>
        <w:spacing w:before="10"/>
        <w:rPr>
          <w:sz w:val="21"/>
        </w:rPr>
      </w:pPr>
    </w:p>
    <w:p w14:paraId="02D3525F">
      <w:pPr>
        <w:pStyle w:val="3"/>
        <w:tabs>
          <w:tab w:val="left" w:pos="4637"/>
          <w:tab w:val="left" w:pos="9188"/>
        </w:tabs>
        <w:spacing w:before="1" w:line="319" w:lineRule="auto"/>
        <w:ind w:left="557" w:right="215"/>
        <w:jc w:val="both"/>
      </w:pPr>
      <w:r>
        <w:rPr>
          <w:color w:val="231F20"/>
        </w:rPr>
        <w:t>乙方（受让方</w:t>
      </w:r>
      <w:r>
        <w:rPr>
          <w:color w:val="231F20"/>
          <w:spacing w:val="-28"/>
        </w:rPr>
        <w:t>：）</w:t>
      </w:r>
      <w:r>
        <w:rPr>
          <w:color w:val="231F20"/>
          <w:spacing w:val="-28"/>
          <w:u w:val="single"/>
        </w:rPr>
        <w:tab/>
      </w:r>
      <w:r>
        <w:rPr>
          <w:color w:val="231F20"/>
        </w:rPr>
        <w:t>统一社会信用代码</w:t>
      </w:r>
      <w:r>
        <w:rPr>
          <w:color w:val="231F20"/>
          <w:u w:val="single" w:color="231F20"/>
        </w:rPr>
        <w:t>：</w:t>
      </w:r>
      <w:r>
        <w:rPr>
          <w:color w:val="231F20"/>
          <w:u w:val="single" w:color="231F20"/>
        </w:rPr>
        <w:tab/>
      </w:r>
      <w:r>
        <w:rPr>
          <w:color w:val="231F20"/>
          <w:u w:val="single" w:color="231F20"/>
        </w:rPr>
        <w:t xml:space="preserve"> </w:t>
      </w:r>
      <w:r>
        <w:rPr>
          <w:color w:val="231F20"/>
        </w:rPr>
        <w:t>法定代表人（负责人</w:t>
      </w:r>
      <w:r>
        <w:rPr>
          <w:color w:val="231F20"/>
          <w:spacing w:val="-28"/>
        </w:rPr>
        <w:t>）：</w:t>
      </w:r>
      <w:r>
        <w:rPr>
          <w:color w:val="231F20"/>
          <w:spacing w:val="-28"/>
          <w:u w:val="single"/>
        </w:rPr>
        <w:tab/>
      </w:r>
      <w:r>
        <w:rPr>
          <w:color w:val="231F20"/>
        </w:rPr>
        <w:t>身份证号码</w:t>
      </w:r>
      <w:r>
        <w:rPr>
          <w:color w:val="231F20"/>
          <w:u w:val="single" w:color="231F20"/>
        </w:rPr>
        <w:t>：</w:t>
      </w:r>
      <w:r>
        <w:rPr>
          <w:color w:val="231F20"/>
          <w:u w:val="single" w:color="231F20"/>
        </w:rPr>
        <w:tab/>
      </w:r>
      <w:r>
        <w:rPr>
          <w:color w:val="231F20"/>
          <w:u w:val="single" w:color="231F20"/>
        </w:rPr>
        <w:t xml:space="preserve"> </w:t>
      </w:r>
      <w:r>
        <w:rPr>
          <w:color w:val="231F20"/>
        </w:rPr>
        <w:t>联系地址</w:t>
      </w:r>
      <w:r>
        <w:rPr>
          <w:color w:val="231F20"/>
          <w:u w:val="single" w:color="231F20"/>
        </w:rPr>
        <w:t>：</w:t>
      </w:r>
      <w:r>
        <w:rPr>
          <w:color w:val="231F20"/>
          <w:u w:val="single" w:color="231F20"/>
        </w:rPr>
        <w:tab/>
      </w:r>
      <w:r>
        <w:rPr>
          <w:color w:val="231F20"/>
        </w:rPr>
        <w:t>联系电话</w:t>
      </w:r>
      <w:r>
        <w:rPr>
          <w:color w:val="231F20"/>
          <w:u w:val="single" w:color="231F20"/>
        </w:rPr>
        <w:t>：</w:t>
      </w:r>
      <w:r>
        <w:rPr>
          <w:color w:val="231F20"/>
          <w:u w:val="single" w:color="231F20"/>
        </w:rPr>
        <w:tab/>
      </w:r>
      <w:r>
        <w:rPr>
          <w:color w:val="231F20"/>
          <w:u w:val="single" w:color="231F20"/>
        </w:rPr>
        <w:t xml:space="preserve"> </w:t>
      </w:r>
      <w:r>
        <w:rPr>
          <w:color w:val="231F20"/>
        </w:rPr>
        <w:t>经营主体类型</w:t>
      </w:r>
      <w:r>
        <w:rPr>
          <w:color w:val="231F20"/>
          <w:spacing w:val="-28"/>
        </w:rPr>
        <w:t>：□</w:t>
      </w:r>
      <w:r>
        <w:rPr>
          <w:color w:val="231F20"/>
        </w:rPr>
        <w:t>自然人</w:t>
      </w:r>
      <w:r>
        <w:rPr>
          <w:color w:val="231F20"/>
          <w:spacing w:val="20"/>
        </w:rPr>
        <w:t xml:space="preserve"> </w:t>
      </w:r>
      <w:r>
        <w:rPr>
          <w:color w:val="231F20"/>
        </w:rPr>
        <w:t xml:space="preserve">□农民合作社 </w:t>
      </w:r>
      <w:r>
        <w:rPr>
          <w:color w:val="231F20"/>
          <w:spacing w:val="10"/>
        </w:rPr>
        <w:t xml:space="preserve"> </w:t>
      </w:r>
      <w:r>
        <w:rPr>
          <w:color w:val="231F20"/>
        </w:rPr>
        <w:t>□集体经济组织</w:t>
      </w:r>
    </w:p>
    <w:p w14:paraId="004DA60A">
      <w:pPr>
        <w:pStyle w:val="3"/>
        <w:tabs>
          <w:tab w:val="left" w:pos="3717"/>
          <w:tab w:val="left" w:pos="5157"/>
        </w:tabs>
        <w:spacing w:before="26"/>
        <w:ind w:left="2097"/>
      </w:pPr>
      <w:r>
        <w:rPr>
          <w:color w:val="231F20"/>
        </w:rPr>
        <w:t>□企业法人</w:t>
      </w:r>
      <w:r>
        <w:rPr>
          <w:color w:val="231F20"/>
        </w:rPr>
        <w:tab/>
      </w:r>
      <w:r>
        <w:rPr>
          <w:color w:val="231F20"/>
        </w:rPr>
        <w:t>□事业法人</w:t>
      </w:r>
      <w:r>
        <w:rPr>
          <w:color w:val="231F20"/>
        </w:rPr>
        <w:tab/>
      </w:r>
      <w:r>
        <w:rPr>
          <w:color w:val="231F20"/>
        </w:rPr>
        <w:t>□其他</w:t>
      </w:r>
    </w:p>
    <w:p w14:paraId="2A31011B">
      <w:pPr>
        <w:pStyle w:val="3"/>
        <w:spacing w:line="20" w:lineRule="exact"/>
        <w:ind w:left="5871"/>
        <w:rPr>
          <w:sz w:val="2"/>
        </w:rPr>
      </w:pPr>
      <w:r>
        <w:rPr>
          <w:sz w:val="2"/>
        </w:rPr>
        <w:pict>
          <v:group id="_x0000_s1028" o:spid="_x0000_s1028" o:spt="203" style="height:0.3pt;width:0.3pt;" coordsize="6,6">
            <o:lock v:ext="edit"/>
            <v:line id="_x0000_s1029" o:spid="_x0000_s1029" o:spt="20" style="position:absolute;left:0;top:3;height:0;width:6;" stroked="t" coordsize="21600,21600">
              <v:path arrowok="t"/>
              <v:fill focussize="0,0"/>
              <v:stroke weight="0.282992125984252pt" color="#231F20"/>
              <v:imagedata o:title=""/>
              <o:lock v:ext="edit"/>
            </v:line>
            <w10:wrap type="none"/>
            <w10:anchorlock/>
          </v:group>
        </w:pict>
      </w:r>
    </w:p>
    <w:p w14:paraId="2D80FE48">
      <w:pPr>
        <w:pStyle w:val="3"/>
        <w:rPr>
          <w:sz w:val="24"/>
        </w:rPr>
      </w:pPr>
    </w:p>
    <w:p w14:paraId="4C3521A4">
      <w:pPr>
        <w:pStyle w:val="3"/>
        <w:rPr>
          <w:sz w:val="24"/>
        </w:rPr>
      </w:pPr>
    </w:p>
    <w:p w14:paraId="7ABDC0D6">
      <w:pPr>
        <w:pStyle w:val="3"/>
        <w:rPr>
          <w:sz w:val="24"/>
        </w:rPr>
      </w:pPr>
    </w:p>
    <w:p w14:paraId="4AA5E0F2">
      <w:pPr>
        <w:pStyle w:val="3"/>
        <w:spacing w:before="11"/>
        <w:rPr>
          <w:sz w:val="21"/>
        </w:rPr>
      </w:pPr>
    </w:p>
    <w:p w14:paraId="01EE4ED2">
      <w:pPr>
        <w:pStyle w:val="3"/>
        <w:spacing w:line="319" w:lineRule="auto"/>
        <w:ind w:left="117" w:right="105" w:firstLine="440"/>
      </w:pPr>
      <w:r>
        <w:rPr>
          <w:color w:val="231F20"/>
        </w:rPr>
        <w:t>为规范集体林权流转行为，维护流转当事人的合法权益，根据《中华人民共和国农村土地</w:t>
      </w:r>
      <w:r>
        <w:rPr>
          <w:color w:val="231F20"/>
          <w:spacing w:val="-19"/>
        </w:rPr>
        <w:t>承包法》、《中华人民共和国森林法》等相关规定，经甲乙双方共同协商，在平等自愿的基础上， 订立本合同。</w:t>
      </w:r>
    </w:p>
    <w:p w14:paraId="5B4313C4">
      <w:pPr>
        <w:pStyle w:val="3"/>
        <w:tabs>
          <w:tab w:val="left" w:pos="1437"/>
        </w:tabs>
        <w:spacing w:before="19"/>
        <w:ind w:left="557"/>
      </w:pPr>
      <w:r>
        <w:rPr>
          <w:rFonts w:hint="eastAsia" w:ascii="方正黑体_GBK" w:eastAsia="方正黑体_GBK"/>
          <w:color w:val="231F20"/>
        </w:rPr>
        <w:t>第一条</w:t>
      </w:r>
      <w:r>
        <w:rPr>
          <w:rFonts w:hint="eastAsia" w:ascii="方正黑体_GBK" w:eastAsia="方正黑体_GBK"/>
          <w:color w:val="231F20"/>
        </w:rPr>
        <w:tab/>
      </w:r>
      <w:r>
        <w:rPr>
          <w:color w:val="231F20"/>
        </w:rPr>
        <w:t>特定术语和规范</w:t>
      </w:r>
    </w:p>
    <w:p w14:paraId="089D9D33">
      <w:pPr>
        <w:pStyle w:val="3"/>
        <w:spacing w:before="109" w:line="319" w:lineRule="auto"/>
        <w:ind w:left="117" w:right="213" w:firstLine="330"/>
        <w:jc w:val="both"/>
      </w:pPr>
      <w:r>
        <w:rPr>
          <w:color w:val="231F20"/>
        </w:rPr>
        <w:t>（一）本合同所称的集体林权流转是指在不改变集体林地所有权、林地用途和公益林、天然林性质的前提下，林权权利人将其依法取得的林木所有权、使用权和林地经营权，依法全部或部分转移给其他公民、法人及其他组织的行为。</w:t>
      </w:r>
    </w:p>
    <w:p w14:paraId="6438E753">
      <w:pPr>
        <w:spacing w:after="0" w:line="319" w:lineRule="auto"/>
        <w:jc w:val="both"/>
        <w:sectPr>
          <w:pgSz w:w="11910" w:h="16840"/>
          <w:pgMar w:top="1580" w:right="1200" w:bottom="1020" w:left="1300" w:header="0" w:footer="832" w:gutter="0"/>
          <w:cols w:space="720" w:num="1"/>
        </w:sectPr>
      </w:pPr>
    </w:p>
    <w:p w14:paraId="6AF8EFAD">
      <w:pPr>
        <w:pStyle w:val="3"/>
        <w:spacing w:before="24" w:line="319" w:lineRule="auto"/>
        <w:ind w:left="117" w:right="209" w:firstLine="330"/>
        <w:jc w:val="both"/>
      </w:pPr>
      <w:r>
        <w:rPr>
          <w:color w:val="231F20"/>
          <w:spacing w:val="2"/>
        </w:rPr>
        <w:t>（二）</w:t>
      </w:r>
      <w:r>
        <w:rPr>
          <w:color w:val="231F20"/>
          <w:spacing w:val="0"/>
        </w:rPr>
        <w:t>集体林权流转应当遵循依法自愿、公平公正和诚实守信原则，任何组织和个人不得</w:t>
      </w:r>
      <w:r>
        <w:rPr>
          <w:color w:val="231F20"/>
          <w:spacing w:val="-5"/>
        </w:rPr>
        <w:t>强迫或者阻碍进行林权流转；林权流转不得改变林地所有权的性质和林业用途，不得破坏林业</w:t>
      </w:r>
      <w:r>
        <w:rPr>
          <w:color w:val="231F20"/>
          <w:spacing w:val="-9"/>
        </w:rPr>
        <w:t xml:space="preserve">综合生产能力和林业生态环境；流转的期限不得超过合同规定的剩余期限，集体统一经营管理林地流转的期限不得超过 </w:t>
      </w:r>
      <w:r>
        <w:rPr>
          <w:color w:val="231F20"/>
        </w:rPr>
        <w:t>70</w:t>
      </w:r>
      <w:r>
        <w:rPr>
          <w:color w:val="231F20"/>
          <w:spacing w:val="-1"/>
        </w:rPr>
        <w:t xml:space="preserve"> 年。</w:t>
      </w:r>
    </w:p>
    <w:p w14:paraId="7BB1AAEC">
      <w:pPr>
        <w:pStyle w:val="3"/>
        <w:spacing w:before="26" w:line="319" w:lineRule="auto"/>
        <w:ind w:left="117" w:firstLine="330"/>
      </w:pPr>
      <w:r>
        <w:rPr>
          <w:color w:val="231F20"/>
        </w:rPr>
        <w:t>（三）受让方须有林业经营能力或者资质。工商企业等社会资本通过流转取得土地经营权， 应当进行资格审查和项目审核。</w:t>
      </w:r>
    </w:p>
    <w:p w14:paraId="3FDC3D29">
      <w:pPr>
        <w:pStyle w:val="3"/>
        <w:spacing w:before="26" w:line="319" w:lineRule="auto"/>
        <w:ind w:left="117" w:right="213" w:firstLine="330"/>
        <w:jc w:val="both"/>
      </w:pPr>
      <w:r>
        <w:rPr>
          <w:color w:val="231F20"/>
        </w:rPr>
        <w:t>（四）林权流转以登记的宗地为最小单元，除流转合同另有约定的，林地上的林木所有权或者使用权应当与林地经营权一并流转。</w:t>
      </w:r>
    </w:p>
    <w:p w14:paraId="076C9C75">
      <w:pPr>
        <w:pStyle w:val="3"/>
        <w:spacing w:before="26" w:line="319" w:lineRule="auto"/>
        <w:ind w:left="117" w:right="213" w:firstLine="330"/>
        <w:jc w:val="both"/>
      </w:pPr>
      <w:r>
        <w:rPr>
          <w:color w:val="231F20"/>
        </w:rPr>
        <w:t>（五）家庭承包林地的林地经营权流转，承包方可以自主决定依法采取出租（转包</w:t>
      </w:r>
      <w:r>
        <w:rPr>
          <w:color w:val="231F20"/>
          <w:spacing w:val="-110"/>
        </w:rPr>
        <w:t>）</w:t>
      </w:r>
      <w:r>
        <w:rPr>
          <w:color w:val="231F20"/>
        </w:rPr>
        <w:t>、入股或者其他方式向他人流转林地经营权，并向发包方备案。再次流转林地经营权，应经承包方书</w:t>
      </w:r>
      <w:r>
        <w:rPr>
          <w:color w:val="231F20"/>
          <w:spacing w:val="1"/>
        </w:rPr>
        <w:t>面同意</w:t>
      </w:r>
      <w:r>
        <w:rPr>
          <w:color w:val="231F20"/>
          <w:spacing w:val="3"/>
        </w:rPr>
        <w:t>（原流转合同有明确同意再流转条款的视为书面同意</w:t>
      </w:r>
      <w:r>
        <w:rPr>
          <w:color w:val="231F20"/>
          <w:spacing w:val="-110"/>
        </w:rPr>
        <w:t>）</w:t>
      </w:r>
      <w:r>
        <w:rPr>
          <w:color w:val="231F20"/>
          <w:spacing w:val="3"/>
        </w:rPr>
        <w:t>，并向林地所在的集体经济组织</w:t>
      </w:r>
      <w:r>
        <w:rPr>
          <w:color w:val="231F20"/>
        </w:rPr>
        <w:t>备案。</w:t>
      </w:r>
    </w:p>
    <w:p w14:paraId="4E898A3A">
      <w:pPr>
        <w:pStyle w:val="3"/>
        <w:spacing w:before="26" w:line="319" w:lineRule="auto"/>
        <w:ind w:left="117" w:right="33" w:firstLine="330"/>
      </w:pPr>
      <w:r>
        <w:rPr>
          <w:color w:val="231F20"/>
        </w:rPr>
        <w:t>（六）通过招标、拍卖、公开协商等其他方式承包获得的，需经依法登记取得林权类证书， 方可流转林地经营权，并向发包方备案。再次流转林地经营权，应告知林地所在的集体经济组织。</w:t>
      </w:r>
    </w:p>
    <w:p w14:paraId="032C109B">
      <w:pPr>
        <w:pStyle w:val="3"/>
        <w:spacing w:before="26" w:line="319" w:lineRule="auto"/>
        <w:ind w:left="117" w:right="213" w:firstLine="330"/>
        <w:jc w:val="both"/>
      </w:pPr>
      <w:r>
        <w:rPr>
          <w:color w:val="231F20"/>
        </w:rPr>
        <w:t>（七）未实行承包经营的集体林地以及林地上的林木，由农村集体经济组织统一经营。经本集体经济组织成员的村民会议三分之二以上成员或者三分之二以上村民代表同意并公示，可以通过招标、拍卖、公开协商等方式依法流转林地经营权、林木所有权和使用权。再次流转林地经营权，应告知林地所在的集体经济组织。</w:t>
      </w:r>
    </w:p>
    <w:p w14:paraId="0F5210A6">
      <w:pPr>
        <w:pStyle w:val="3"/>
        <w:spacing w:before="26" w:line="319" w:lineRule="auto"/>
        <w:ind w:left="117" w:firstLine="330"/>
      </w:pPr>
      <w:r>
        <w:rPr>
          <w:color w:val="231F20"/>
        </w:rPr>
        <w:t>（八）林地经营权流转期限为五年以上的，当事人可以向登记机构申请林地经营权登记。未经登记，不得对抗善意第三人。</w:t>
      </w:r>
    </w:p>
    <w:p w14:paraId="21B4DEE4">
      <w:pPr>
        <w:pStyle w:val="3"/>
        <w:tabs>
          <w:tab w:val="left" w:pos="1437"/>
        </w:tabs>
        <w:spacing w:before="19"/>
        <w:ind w:left="557"/>
      </w:pPr>
      <w:r>
        <w:rPr>
          <w:rFonts w:hint="eastAsia" w:ascii="方正黑体_GBK" w:eastAsia="方正黑体_GBK"/>
          <w:color w:val="231F20"/>
        </w:rPr>
        <w:t>第二条</w:t>
      </w:r>
      <w:r>
        <w:rPr>
          <w:rFonts w:hint="eastAsia" w:ascii="方正黑体_GBK" w:eastAsia="方正黑体_GBK"/>
          <w:color w:val="231F20"/>
        </w:rPr>
        <w:tab/>
      </w:r>
      <w:r>
        <w:rPr>
          <w:color w:val="231F20"/>
        </w:rPr>
        <w:t>流转标的物及流转方式</w:t>
      </w:r>
    </w:p>
    <w:p w14:paraId="04051CBB">
      <w:pPr>
        <w:pStyle w:val="3"/>
        <w:tabs>
          <w:tab w:val="left" w:pos="1437"/>
          <w:tab w:val="left" w:pos="7373"/>
          <w:tab w:val="left" w:pos="7417"/>
        </w:tabs>
        <w:spacing w:before="108" w:line="319" w:lineRule="auto"/>
        <w:ind w:left="117" w:right="213" w:firstLine="330"/>
        <w:jc w:val="both"/>
      </w:pPr>
      <w:r>
        <w:rPr>
          <w:color w:val="231F20"/>
        </w:rPr>
        <w:t>（一）经自愿协商，甲方将不动产单元号</w:t>
      </w:r>
      <w:r>
        <w:rPr>
          <w:color w:val="231F20"/>
          <w:spacing w:val="3"/>
        </w:rPr>
        <w:t xml:space="preserve"> </w:t>
      </w:r>
      <w:r>
        <w:rPr>
          <w:color w:val="231F20"/>
        </w:rPr>
        <w:t>/</w:t>
      </w:r>
      <w:r>
        <w:rPr>
          <w:color w:val="231F20"/>
          <w:spacing w:val="3"/>
        </w:rPr>
        <w:t xml:space="preserve"> </w:t>
      </w:r>
      <w:r>
        <w:rPr>
          <w:color w:val="231F20"/>
        </w:rPr>
        <w:t>林地宗地号：</w:t>
      </w:r>
      <w:r>
        <w:rPr>
          <w:rFonts w:hint="eastAsia"/>
          <w:color w:val="231F20"/>
          <w:u w:val="single"/>
        </w:rPr>
        <w:t>琼（2025）东方市不动产权第0007304号</w:t>
      </w:r>
      <w:r>
        <w:rPr>
          <w:color w:val="231F20"/>
          <w:u w:val="single"/>
        </w:rPr>
        <w:tab/>
      </w:r>
      <w:r>
        <w:rPr>
          <w:color w:val="231F20"/>
        </w:rPr>
        <w:t>，共计</w:t>
      </w:r>
      <w:r>
        <w:rPr>
          <w:rFonts w:hint="eastAsia"/>
          <w:color w:val="231F20"/>
          <w:u w:val="single"/>
          <w:lang w:val="en-US" w:eastAsia="zh-CN"/>
        </w:rPr>
        <w:t xml:space="preserve">  1   </w:t>
      </w:r>
      <w:r>
        <w:rPr>
          <w:color w:val="231F20"/>
        </w:rPr>
        <w:t>宗林地，共 计</w:t>
      </w:r>
      <w:r>
        <w:rPr>
          <w:color w:val="231F20"/>
          <w:u w:val="single" w:color="231F20"/>
        </w:rPr>
        <w:t xml:space="preserve"> </w:t>
      </w:r>
      <w:r>
        <w:rPr>
          <w:rFonts w:hint="eastAsia"/>
          <w:color w:val="231F20"/>
          <w:u w:val="single" w:color="231F20"/>
          <w:lang w:val="en-US" w:eastAsia="zh-CN"/>
        </w:rPr>
        <w:t>15.11</w:t>
      </w:r>
      <w:r>
        <w:rPr>
          <w:color w:val="231F20"/>
        </w:rPr>
        <w:t>亩林地（具体见下表及附图）出让给乙方，出让期限共</w:t>
      </w:r>
      <w:r>
        <w:rPr>
          <w:color w:val="231F20"/>
          <w:u w:val="single" w:color="231F20"/>
        </w:rPr>
        <w:t xml:space="preserve"> </w:t>
      </w:r>
      <w:r>
        <w:rPr>
          <w:rFonts w:hint="eastAsia"/>
          <w:color w:val="231F20"/>
          <w:u w:val="single" w:color="231F20"/>
          <w:lang w:val="en-US" w:eastAsia="zh-CN"/>
        </w:rPr>
        <w:t>25</w:t>
      </w:r>
      <w:r>
        <w:rPr>
          <w:color w:val="231F20"/>
          <w:u w:val="single" w:color="231F20"/>
        </w:rPr>
        <w:tab/>
      </w:r>
      <w:r>
        <w:rPr>
          <w:color w:val="231F20"/>
        </w:rPr>
        <w:t>年。</w:t>
      </w:r>
    </w:p>
    <w:p w14:paraId="0D7A5E3F">
      <w:pPr>
        <w:spacing w:after="0" w:line="319" w:lineRule="auto"/>
        <w:jc w:val="both"/>
        <w:sectPr>
          <w:pgSz w:w="11910" w:h="16840"/>
          <w:pgMar w:top="1580" w:right="1200" w:bottom="1020" w:left="1300" w:header="0" w:footer="832" w:gutter="0"/>
          <w:cols w:space="720" w:num="1"/>
        </w:sectPr>
      </w:pPr>
    </w:p>
    <w:p w14:paraId="0E88205C">
      <w:pPr>
        <w:spacing w:before="10"/>
        <w:ind w:left="0" w:right="98" w:firstLine="0"/>
        <w:jc w:val="center"/>
        <w:rPr>
          <w:rFonts w:hint="eastAsia" w:ascii="方正黑体_GBK" w:eastAsia="方正黑体_GBK"/>
          <w:sz w:val="24"/>
        </w:rPr>
      </w:pPr>
      <w:r>
        <w:rPr>
          <w:rFonts w:hint="eastAsia" w:ascii="方正黑体_GBK" w:eastAsia="方正黑体_GBK"/>
          <w:color w:val="231F20"/>
          <w:sz w:val="24"/>
        </w:rPr>
        <w:t>林地宗地流转信息表</w:t>
      </w:r>
    </w:p>
    <w:p w14:paraId="600E2437">
      <w:pPr>
        <w:pStyle w:val="3"/>
        <w:spacing w:before="14"/>
        <w:rPr>
          <w:rFonts w:ascii="方正黑体_GBK"/>
          <w:sz w:val="13"/>
        </w:rPr>
      </w:pPr>
    </w:p>
    <w:tbl>
      <w:tblPr>
        <w:tblStyle w:val="4"/>
        <w:tblW w:w="0" w:type="auto"/>
        <w:tblInd w:w="122"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3287"/>
        <w:gridCol w:w="5776"/>
      </w:tblGrid>
      <w:tr w14:paraId="05507D1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540" w:hRule="atLeast"/>
        </w:trPr>
        <w:tc>
          <w:tcPr>
            <w:tcW w:w="3287" w:type="dxa"/>
          </w:tcPr>
          <w:p w14:paraId="7507F71A">
            <w:pPr>
              <w:pStyle w:val="8"/>
              <w:spacing w:before="120"/>
              <w:ind w:left="468" w:right="460"/>
              <w:jc w:val="center"/>
              <w:rPr>
                <w:sz w:val="18"/>
              </w:rPr>
            </w:pPr>
            <w:r>
              <w:rPr>
                <w:color w:val="231F20"/>
                <w:sz w:val="18"/>
              </w:rPr>
              <w:t>不动产单元号 / 林地宗地号</w:t>
            </w:r>
          </w:p>
        </w:tc>
        <w:tc>
          <w:tcPr>
            <w:tcW w:w="5776" w:type="dxa"/>
          </w:tcPr>
          <w:p w14:paraId="1A3ABC96">
            <w:pPr>
              <w:pStyle w:val="8"/>
              <w:rPr>
                <w:rFonts w:ascii="Times New Roman"/>
                <w:sz w:val="20"/>
              </w:rPr>
            </w:pPr>
            <w:r>
              <w:rPr>
                <w:rFonts w:hint="eastAsia" w:ascii="Times New Roman"/>
                <w:sz w:val="20"/>
              </w:rPr>
              <w:t>琼（2025）东方市不动产权第0007304号</w:t>
            </w:r>
          </w:p>
        </w:tc>
      </w:tr>
      <w:tr w14:paraId="70B0129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40" w:hRule="atLeast"/>
        </w:trPr>
        <w:tc>
          <w:tcPr>
            <w:tcW w:w="3287" w:type="dxa"/>
          </w:tcPr>
          <w:p w14:paraId="145CB9BA">
            <w:pPr>
              <w:pStyle w:val="8"/>
              <w:spacing w:before="70"/>
              <w:ind w:left="468" w:right="460"/>
              <w:jc w:val="center"/>
              <w:rPr>
                <w:sz w:val="18"/>
              </w:rPr>
            </w:pPr>
            <w:r>
              <w:rPr>
                <w:color w:val="231F20"/>
                <w:sz w:val="18"/>
              </w:rPr>
              <w:t>林木所有权 / 林木使用权</w:t>
            </w:r>
          </w:p>
        </w:tc>
        <w:tc>
          <w:tcPr>
            <w:tcW w:w="5776" w:type="dxa"/>
          </w:tcPr>
          <w:p w14:paraId="569E2EEA">
            <w:pPr>
              <w:pStyle w:val="8"/>
              <w:ind w:firstLine="200" w:firstLineChars="100"/>
              <w:rPr>
                <w:rFonts w:hint="default" w:ascii="Times New Roman" w:eastAsia="方正书宋_GBK"/>
                <w:sz w:val="20"/>
                <w:lang w:val="en-US" w:eastAsia="zh-CN"/>
              </w:rPr>
            </w:pPr>
            <w:r>
              <w:rPr>
                <w:rFonts w:hint="eastAsia" w:ascii="Times New Roman"/>
                <w:sz w:val="20"/>
                <w:lang w:val="en-US" w:eastAsia="zh-CN"/>
              </w:rPr>
              <w:t>林地经营权</w:t>
            </w:r>
          </w:p>
        </w:tc>
      </w:tr>
      <w:tr w14:paraId="669235BB">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40" w:hRule="atLeast"/>
        </w:trPr>
        <w:tc>
          <w:tcPr>
            <w:tcW w:w="3287" w:type="dxa"/>
          </w:tcPr>
          <w:p w14:paraId="789A75F3">
            <w:pPr>
              <w:pStyle w:val="8"/>
              <w:spacing w:before="70"/>
              <w:ind w:left="468" w:right="460"/>
              <w:jc w:val="center"/>
              <w:rPr>
                <w:sz w:val="18"/>
              </w:rPr>
            </w:pPr>
            <w:r>
              <w:rPr>
                <w:color w:val="231F20"/>
                <w:sz w:val="18"/>
              </w:rPr>
              <w:t>地块名称（小地名）</w:t>
            </w:r>
          </w:p>
        </w:tc>
        <w:tc>
          <w:tcPr>
            <w:tcW w:w="5776" w:type="dxa"/>
          </w:tcPr>
          <w:p w14:paraId="5D36489A">
            <w:pPr>
              <w:pStyle w:val="8"/>
              <w:ind w:firstLine="200" w:firstLineChars="100"/>
              <w:rPr>
                <w:rFonts w:ascii="Times New Roman"/>
                <w:sz w:val="20"/>
              </w:rPr>
            </w:pPr>
            <w:r>
              <w:rPr>
                <w:rFonts w:hint="eastAsia" w:ascii="Times New Roman"/>
                <w:sz w:val="20"/>
                <w:lang w:eastAsia="zh-CN"/>
              </w:rPr>
              <w:t>农科所园</w:t>
            </w:r>
          </w:p>
        </w:tc>
      </w:tr>
      <w:tr w14:paraId="3B68E9A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40" w:hRule="atLeast"/>
        </w:trPr>
        <w:tc>
          <w:tcPr>
            <w:tcW w:w="3287" w:type="dxa"/>
          </w:tcPr>
          <w:p w14:paraId="421CD20A">
            <w:pPr>
              <w:pStyle w:val="8"/>
              <w:spacing w:before="70"/>
              <w:ind w:left="468" w:right="460"/>
              <w:jc w:val="center"/>
              <w:rPr>
                <w:rFonts w:hint="default" w:eastAsia="方正书宋_GBK"/>
                <w:sz w:val="18"/>
                <w:lang w:val="en-US" w:eastAsia="zh-CN"/>
              </w:rPr>
            </w:pPr>
            <w:r>
              <w:rPr>
                <w:color w:val="231F20"/>
                <w:sz w:val="18"/>
              </w:rPr>
              <w:t>林班号</w:t>
            </w:r>
            <w:r>
              <w:rPr>
                <w:rFonts w:hint="eastAsia"/>
                <w:color w:val="231F20"/>
                <w:sz w:val="18"/>
                <w:lang w:val="en-US" w:eastAsia="zh-CN"/>
              </w:rPr>
              <w:t xml:space="preserve">                            </w:t>
            </w:r>
          </w:p>
        </w:tc>
        <w:tc>
          <w:tcPr>
            <w:tcW w:w="5776" w:type="dxa"/>
          </w:tcPr>
          <w:p w14:paraId="2C39AEC1">
            <w:pPr>
              <w:pStyle w:val="8"/>
              <w:rPr>
                <w:rFonts w:hint="default" w:ascii="Times New Roman" w:eastAsia="方正书宋_GBK"/>
                <w:sz w:val="20"/>
                <w:lang w:val="en-US" w:eastAsia="zh-CN"/>
              </w:rPr>
            </w:pPr>
            <w:r>
              <w:rPr>
                <w:rFonts w:hint="eastAsia" w:ascii="Times New Roman"/>
                <w:sz w:val="20"/>
                <w:lang w:val="en-US" w:eastAsia="zh-CN"/>
              </w:rPr>
              <w:t xml:space="preserve">      /</w:t>
            </w:r>
          </w:p>
        </w:tc>
      </w:tr>
      <w:tr w14:paraId="0CF7293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40" w:hRule="atLeast"/>
        </w:trPr>
        <w:tc>
          <w:tcPr>
            <w:tcW w:w="3287" w:type="dxa"/>
          </w:tcPr>
          <w:p w14:paraId="3EAE0CCA">
            <w:pPr>
              <w:pStyle w:val="8"/>
              <w:spacing w:before="70"/>
              <w:ind w:left="468" w:right="460"/>
              <w:jc w:val="center"/>
              <w:rPr>
                <w:sz w:val="18"/>
              </w:rPr>
            </w:pPr>
            <w:r>
              <w:rPr>
                <w:color w:val="231F20"/>
                <w:sz w:val="18"/>
              </w:rPr>
              <w:t>小班号</w:t>
            </w:r>
          </w:p>
        </w:tc>
        <w:tc>
          <w:tcPr>
            <w:tcW w:w="5776" w:type="dxa"/>
          </w:tcPr>
          <w:p w14:paraId="3CDAA97B">
            <w:pPr>
              <w:pStyle w:val="8"/>
              <w:rPr>
                <w:rFonts w:hint="default" w:ascii="Times New Roman" w:eastAsia="方正书宋_GBK"/>
                <w:sz w:val="20"/>
                <w:lang w:val="en-US" w:eastAsia="zh-CN"/>
              </w:rPr>
            </w:pPr>
            <w:r>
              <w:rPr>
                <w:rFonts w:hint="eastAsia" w:ascii="Times New Roman"/>
                <w:sz w:val="20"/>
                <w:lang w:val="en-US" w:eastAsia="zh-CN"/>
              </w:rPr>
              <w:t xml:space="preserve">     /</w:t>
            </w:r>
          </w:p>
        </w:tc>
      </w:tr>
      <w:tr w14:paraId="4ED6AEF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40" w:hRule="atLeast"/>
        </w:trPr>
        <w:tc>
          <w:tcPr>
            <w:tcW w:w="3287" w:type="dxa"/>
          </w:tcPr>
          <w:p w14:paraId="68FD8A02">
            <w:pPr>
              <w:pStyle w:val="8"/>
              <w:spacing w:before="70"/>
              <w:ind w:left="468" w:right="460"/>
              <w:jc w:val="center"/>
              <w:rPr>
                <w:sz w:val="18"/>
              </w:rPr>
            </w:pPr>
            <w:r>
              <w:rPr>
                <w:color w:val="231F20"/>
                <w:sz w:val="18"/>
              </w:rPr>
              <w:t>面积（亩）</w:t>
            </w:r>
          </w:p>
        </w:tc>
        <w:tc>
          <w:tcPr>
            <w:tcW w:w="5776" w:type="dxa"/>
          </w:tcPr>
          <w:p w14:paraId="6AE31F8D">
            <w:pPr>
              <w:pStyle w:val="8"/>
              <w:rPr>
                <w:rFonts w:ascii="Times New Roman"/>
                <w:sz w:val="20"/>
              </w:rPr>
            </w:pPr>
            <w:r>
              <w:rPr>
                <w:rFonts w:hint="eastAsia" w:ascii="Times New Roman"/>
                <w:sz w:val="20"/>
                <w:lang w:val="en-US" w:eastAsia="zh-CN"/>
              </w:rPr>
              <w:t>15.11</w:t>
            </w:r>
          </w:p>
        </w:tc>
      </w:tr>
      <w:tr w14:paraId="4361DD9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40" w:hRule="atLeast"/>
        </w:trPr>
        <w:tc>
          <w:tcPr>
            <w:tcW w:w="3287" w:type="dxa"/>
          </w:tcPr>
          <w:p w14:paraId="3C3808C4">
            <w:pPr>
              <w:pStyle w:val="8"/>
              <w:spacing w:before="70"/>
              <w:ind w:left="468" w:right="460"/>
              <w:jc w:val="center"/>
              <w:rPr>
                <w:sz w:val="18"/>
              </w:rPr>
            </w:pPr>
            <w:r>
              <w:rPr>
                <w:color w:val="231F20"/>
                <w:sz w:val="18"/>
              </w:rPr>
              <w:t>公益林 / 商品林</w:t>
            </w:r>
          </w:p>
        </w:tc>
        <w:tc>
          <w:tcPr>
            <w:tcW w:w="5776" w:type="dxa"/>
          </w:tcPr>
          <w:p w14:paraId="7461A207">
            <w:pPr>
              <w:pStyle w:val="8"/>
              <w:rPr>
                <w:rFonts w:hint="default" w:ascii="Times New Roman" w:eastAsia="方正书宋_GBK"/>
                <w:sz w:val="20"/>
                <w:lang w:val="en-US" w:eastAsia="zh-CN"/>
              </w:rPr>
            </w:pPr>
            <w:r>
              <w:rPr>
                <w:rFonts w:hint="eastAsia" w:ascii="Times New Roman"/>
                <w:sz w:val="20"/>
                <w:lang w:val="en-US" w:eastAsia="zh-CN"/>
              </w:rPr>
              <w:t xml:space="preserve">    /</w:t>
            </w:r>
          </w:p>
        </w:tc>
      </w:tr>
      <w:tr w14:paraId="008AB0DE">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40" w:hRule="atLeast"/>
        </w:trPr>
        <w:tc>
          <w:tcPr>
            <w:tcW w:w="3287" w:type="dxa"/>
          </w:tcPr>
          <w:p w14:paraId="6B65DF4F">
            <w:pPr>
              <w:pStyle w:val="8"/>
              <w:spacing w:before="70"/>
              <w:ind w:left="468" w:right="460"/>
              <w:jc w:val="center"/>
              <w:rPr>
                <w:sz w:val="18"/>
              </w:rPr>
            </w:pPr>
            <w:r>
              <w:rPr>
                <w:color w:val="231F20"/>
                <w:sz w:val="18"/>
              </w:rPr>
              <w:t>人工林 / 天然林</w:t>
            </w:r>
          </w:p>
        </w:tc>
        <w:tc>
          <w:tcPr>
            <w:tcW w:w="5776" w:type="dxa"/>
          </w:tcPr>
          <w:p w14:paraId="75D973A2">
            <w:pPr>
              <w:pStyle w:val="8"/>
              <w:rPr>
                <w:rFonts w:hint="default" w:ascii="Times New Roman" w:eastAsia="方正书宋_GBK"/>
                <w:sz w:val="20"/>
                <w:lang w:val="en-US" w:eastAsia="zh-CN"/>
              </w:rPr>
            </w:pPr>
            <w:r>
              <w:rPr>
                <w:rFonts w:hint="eastAsia" w:ascii="Times New Roman"/>
                <w:sz w:val="20"/>
                <w:lang w:val="en-US" w:eastAsia="zh-CN"/>
              </w:rPr>
              <w:t xml:space="preserve">    /</w:t>
            </w:r>
          </w:p>
        </w:tc>
      </w:tr>
      <w:tr w14:paraId="4DD41ACC">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40" w:hRule="atLeast"/>
        </w:trPr>
        <w:tc>
          <w:tcPr>
            <w:tcW w:w="3287" w:type="dxa"/>
          </w:tcPr>
          <w:p w14:paraId="77ABF412">
            <w:pPr>
              <w:pStyle w:val="8"/>
              <w:spacing w:before="70"/>
              <w:ind w:left="468" w:right="460"/>
              <w:jc w:val="center"/>
              <w:rPr>
                <w:sz w:val="18"/>
              </w:rPr>
            </w:pPr>
            <w:r>
              <w:rPr>
                <w:color w:val="231F20"/>
                <w:sz w:val="18"/>
              </w:rPr>
              <w:t>树种</w:t>
            </w:r>
          </w:p>
        </w:tc>
        <w:tc>
          <w:tcPr>
            <w:tcW w:w="5776" w:type="dxa"/>
          </w:tcPr>
          <w:p w14:paraId="50DDADDD">
            <w:pPr>
              <w:pStyle w:val="8"/>
              <w:rPr>
                <w:rFonts w:hint="default" w:ascii="Times New Roman" w:eastAsia="方正书宋_GBK"/>
                <w:sz w:val="20"/>
                <w:lang w:val="en-US" w:eastAsia="zh-CN"/>
              </w:rPr>
            </w:pPr>
            <w:r>
              <w:rPr>
                <w:rFonts w:hint="eastAsia" w:ascii="Times New Roman"/>
                <w:sz w:val="20"/>
                <w:lang w:val="en-US" w:eastAsia="zh-CN"/>
              </w:rPr>
              <w:t xml:space="preserve">    /</w:t>
            </w:r>
          </w:p>
        </w:tc>
      </w:tr>
      <w:tr w14:paraId="6BAD6C7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760" w:hRule="atLeast"/>
        </w:trPr>
        <w:tc>
          <w:tcPr>
            <w:tcW w:w="3287" w:type="dxa"/>
          </w:tcPr>
          <w:p w14:paraId="3F698EB5">
            <w:pPr>
              <w:pStyle w:val="8"/>
              <w:spacing w:before="46"/>
              <w:ind w:left="468" w:right="460"/>
              <w:jc w:val="center"/>
              <w:rPr>
                <w:sz w:val="18"/>
              </w:rPr>
            </w:pPr>
            <w:r>
              <w:rPr>
                <w:color w:val="231F20"/>
                <w:sz w:val="18"/>
              </w:rPr>
              <w:t>流转方式：出租、转包、</w:t>
            </w:r>
          </w:p>
          <w:p w14:paraId="41E55004">
            <w:pPr>
              <w:pStyle w:val="8"/>
              <w:spacing w:before="98"/>
              <w:ind w:left="468" w:right="460"/>
              <w:jc w:val="center"/>
              <w:rPr>
                <w:sz w:val="18"/>
              </w:rPr>
            </w:pPr>
            <w:r>
              <w:rPr>
                <w:color w:val="231F20"/>
                <w:sz w:val="18"/>
              </w:rPr>
              <w:t>入股、其他</w:t>
            </w:r>
          </w:p>
        </w:tc>
        <w:tc>
          <w:tcPr>
            <w:tcW w:w="5776" w:type="dxa"/>
          </w:tcPr>
          <w:p w14:paraId="6D6CC3CC">
            <w:pPr>
              <w:pStyle w:val="8"/>
              <w:ind w:firstLine="200" w:firstLineChars="100"/>
              <w:rPr>
                <w:rFonts w:hint="default" w:ascii="Times New Roman" w:eastAsia="方正书宋_GBK"/>
                <w:sz w:val="20"/>
                <w:lang w:val="en-US" w:eastAsia="zh-CN"/>
              </w:rPr>
            </w:pPr>
            <w:r>
              <w:rPr>
                <w:rFonts w:hint="eastAsia" w:ascii="Times New Roman"/>
                <w:sz w:val="20"/>
                <w:lang w:val="en-US" w:eastAsia="zh-CN"/>
              </w:rPr>
              <w:t>其他</w:t>
            </w:r>
          </w:p>
        </w:tc>
      </w:tr>
      <w:tr w14:paraId="3F809186">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40" w:hRule="atLeast"/>
        </w:trPr>
        <w:tc>
          <w:tcPr>
            <w:tcW w:w="3287" w:type="dxa"/>
          </w:tcPr>
          <w:p w14:paraId="7DD81CFE">
            <w:pPr>
              <w:pStyle w:val="8"/>
              <w:spacing w:before="70"/>
              <w:ind w:left="468" w:right="460"/>
              <w:jc w:val="center"/>
              <w:rPr>
                <w:sz w:val="18"/>
              </w:rPr>
            </w:pPr>
            <w:r>
              <w:rPr>
                <w:color w:val="231F20"/>
                <w:sz w:val="18"/>
              </w:rPr>
              <w:t>起始日期</w:t>
            </w:r>
          </w:p>
        </w:tc>
        <w:tc>
          <w:tcPr>
            <w:tcW w:w="5776" w:type="dxa"/>
          </w:tcPr>
          <w:p w14:paraId="58D832F1">
            <w:pPr>
              <w:pStyle w:val="8"/>
              <w:ind w:firstLine="200" w:firstLineChars="100"/>
              <w:rPr>
                <w:rFonts w:hint="default" w:ascii="Times New Roman" w:eastAsia="方正书宋_GBK"/>
                <w:sz w:val="20"/>
                <w:lang w:val="en-US" w:eastAsia="zh-CN"/>
              </w:rPr>
            </w:pPr>
            <w:r>
              <w:rPr>
                <w:rFonts w:hint="eastAsia" w:ascii="Times New Roman"/>
                <w:sz w:val="20"/>
                <w:lang w:val="en-US" w:eastAsia="zh-CN"/>
              </w:rPr>
              <w:t>2025年   月   日</w:t>
            </w:r>
          </w:p>
        </w:tc>
      </w:tr>
      <w:tr w14:paraId="25B69AD1">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440" w:hRule="atLeast"/>
        </w:trPr>
        <w:tc>
          <w:tcPr>
            <w:tcW w:w="3287" w:type="dxa"/>
          </w:tcPr>
          <w:p w14:paraId="16663CCD">
            <w:pPr>
              <w:pStyle w:val="8"/>
              <w:spacing w:before="70"/>
              <w:ind w:left="468" w:right="460"/>
              <w:jc w:val="center"/>
              <w:rPr>
                <w:sz w:val="18"/>
              </w:rPr>
            </w:pPr>
            <w:r>
              <w:rPr>
                <w:color w:val="231F20"/>
                <w:sz w:val="18"/>
              </w:rPr>
              <w:t>终止日期</w:t>
            </w:r>
          </w:p>
        </w:tc>
        <w:tc>
          <w:tcPr>
            <w:tcW w:w="5776" w:type="dxa"/>
          </w:tcPr>
          <w:p w14:paraId="090E8322">
            <w:pPr>
              <w:pStyle w:val="8"/>
              <w:ind w:firstLine="200" w:firstLineChars="100"/>
              <w:rPr>
                <w:rFonts w:hint="default" w:ascii="Times New Roman" w:eastAsia="方正书宋_GBK"/>
                <w:sz w:val="20"/>
                <w:lang w:val="en-US" w:eastAsia="zh-CN"/>
              </w:rPr>
            </w:pPr>
            <w:r>
              <w:rPr>
                <w:rFonts w:hint="eastAsia" w:ascii="Times New Roman"/>
                <w:sz w:val="20"/>
                <w:lang w:val="en-US" w:eastAsia="zh-CN"/>
              </w:rPr>
              <w:t>2050年  月    日</w:t>
            </w:r>
          </w:p>
        </w:tc>
      </w:tr>
    </w:tbl>
    <w:p w14:paraId="7A716F69">
      <w:pPr>
        <w:pStyle w:val="3"/>
        <w:spacing w:before="1"/>
        <w:rPr>
          <w:rFonts w:ascii="方正黑体_GBK"/>
          <w:sz w:val="36"/>
        </w:rPr>
      </w:pPr>
    </w:p>
    <w:p w14:paraId="64FDF257">
      <w:pPr>
        <w:pStyle w:val="3"/>
        <w:ind w:left="447"/>
      </w:pPr>
      <w:r>
        <w:rPr>
          <w:color w:val="231F20"/>
        </w:rPr>
        <w:t>（二）流转林地上的附属建筑和资产情况现状描述：</w:t>
      </w:r>
    </w:p>
    <w:p w14:paraId="601AEE82">
      <w:pPr>
        <w:pStyle w:val="3"/>
        <w:spacing w:before="1"/>
        <w:rPr>
          <w:sz w:val="26"/>
        </w:rPr>
      </w:pPr>
      <w:r>
        <w:pict>
          <v:line id="_x0000_s1030" o:spid="_x0000_s1030" o:spt="20" style="position:absolute;left:0pt;margin-left:92.85pt;margin-top:21.65pt;height:0pt;width:431.5pt;mso-position-horizontal-relative:page;mso-wrap-distance-bottom:0pt;mso-wrap-distance-top:0pt;z-index:251660288;mso-width-relative:page;mso-height-relative:page;" stroked="t" coordsize="21600,21600">
            <v:path arrowok="t"/>
            <v:fill focussize="0,0"/>
            <v:stroke weight="0.282992125984252pt" color="#231F20"/>
            <v:imagedata o:title=""/>
            <o:lock v:ext="edit"/>
            <w10:wrap type="topAndBottom"/>
          </v:line>
        </w:pict>
      </w:r>
    </w:p>
    <w:p w14:paraId="4D41BDE7">
      <w:pPr>
        <w:pStyle w:val="3"/>
        <w:spacing w:before="12"/>
        <w:rPr>
          <w:sz w:val="34"/>
        </w:rPr>
      </w:pPr>
    </w:p>
    <w:p w14:paraId="186D9367">
      <w:pPr>
        <w:pStyle w:val="3"/>
        <w:ind w:left="557"/>
      </w:pPr>
      <w:r>
        <w:rPr>
          <w:color w:val="231F20"/>
        </w:rPr>
        <w:t>流转处置方式描述（可另附件）：</w:t>
      </w:r>
    </w:p>
    <w:p w14:paraId="63F8C892">
      <w:pPr>
        <w:pStyle w:val="3"/>
        <w:tabs>
          <w:tab w:val="left" w:pos="9078"/>
        </w:tabs>
        <w:spacing w:before="108"/>
        <w:ind w:left="55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rPr>
        <w:t>。</w:t>
      </w:r>
    </w:p>
    <w:p w14:paraId="1707FA4A">
      <w:pPr>
        <w:pStyle w:val="3"/>
        <w:tabs>
          <w:tab w:val="left" w:pos="2867"/>
          <w:tab w:val="left" w:pos="3527"/>
          <w:tab w:val="left" w:pos="4187"/>
        </w:tabs>
        <w:spacing w:before="108"/>
        <w:ind w:left="447"/>
      </w:pPr>
      <w:r>
        <w:rPr>
          <w:color w:val="231F20"/>
        </w:rPr>
        <w:t>（三）甲方应于</w:t>
      </w:r>
      <w:r>
        <w:rPr>
          <w:color w:val="231F20"/>
          <w:u w:val="single" w:color="231F20"/>
        </w:rPr>
        <w:t xml:space="preserve"> </w:t>
      </w:r>
      <w:r>
        <w:rPr>
          <w:rFonts w:hint="eastAsia"/>
          <w:color w:val="231F20"/>
          <w:u w:val="single" w:color="231F20"/>
          <w:lang w:val="en-US" w:eastAsia="zh-CN"/>
        </w:rPr>
        <w:t xml:space="preserve">2025 </w:t>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日之前将</w:t>
      </w:r>
      <w:r>
        <w:rPr>
          <w:color w:val="FF0000"/>
        </w:rPr>
        <w:t>林地林木</w:t>
      </w:r>
      <w:bookmarkStart w:id="0" w:name="_GoBack"/>
      <w:bookmarkEnd w:id="0"/>
      <w:r>
        <w:rPr>
          <w:color w:val="231F20"/>
        </w:rPr>
        <w:t>交付乙方。</w:t>
      </w:r>
    </w:p>
    <w:p w14:paraId="4F1525BA">
      <w:pPr>
        <w:pStyle w:val="3"/>
        <w:tabs>
          <w:tab w:val="left" w:pos="1437"/>
        </w:tabs>
        <w:spacing w:before="102"/>
        <w:ind w:left="557"/>
      </w:pPr>
      <w:r>
        <w:rPr>
          <w:rFonts w:hint="eastAsia" w:ascii="方正黑体_GBK" w:eastAsia="方正黑体_GBK"/>
          <w:color w:val="231F20"/>
        </w:rPr>
        <w:t>第三条</w:t>
      </w:r>
      <w:r>
        <w:rPr>
          <w:rFonts w:hint="eastAsia" w:ascii="方正黑体_GBK" w:eastAsia="方正黑体_GBK"/>
          <w:color w:val="231F20"/>
        </w:rPr>
        <w:tab/>
      </w:r>
      <w:r>
        <w:rPr>
          <w:color w:val="231F20"/>
        </w:rPr>
        <w:t>流转价款及支付方式</w:t>
      </w:r>
    </w:p>
    <w:p w14:paraId="7CE15230">
      <w:pPr>
        <w:pStyle w:val="3"/>
        <w:tabs>
          <w:tab w:val="left" w:pos="3747"/>
        </w:tabs>
        <w:spacing w:before="108"/>
        <w:ind w:left="447"/>
      </w:pPr>
      <w:r>
        <w:rPr>
          <w:color w:val="231F20"/>
        </w:rPr>
        <w:t>（一）双方协商后确定以下列</w:t>
      </w:r>
      <w:r>
        <w:rPr>
          <w:color w:val="231F20"/>
          <w:u w:val="single" w:color="231F20"/>
        </w:rPr>
        <w:t xml:space="preserve"> </w:t>
      </w:r>
      <w:r>
        <w:rPr>
          <w:rFonts w:hint="eastAsia"/>
          <w:color w:val="231F20"/>
          <w:u w:val="single" w:color="231F20"/>
          <w:lang w:val="en-US" w:eastAsia="zh-CN"/>
        </w:rPr>
        <w:t>2</w:t>
      </w:r>
      <w:r>
        <w:rPr>
          <w:color w:val="231F20"/>
          <w:u w:val="single" w:color="231F20"/>
        </w:rPr>
        <w:tab/>
      </w:r>
      <w:r>
        <w:rPr>
          <w:color w:val="231F20"/>
        </w:rPr>
        <w:t>种方式进行计价：</w:t>
      </w:r>
    </w:p>
    <w:p w14:paraId="501A4E09">
      <w:pPr>
        <w:pStyle w:val="7"/>
        <w:numPr>
          <w:ilvl w:val="0"/>
          <w:numId w:val="1"/>
        </w:numPr>
        <w:tabs>
          <w:tab w:val="left" w:pos="777"/>
          <w:tab w:val="left" w:pos="6563"/>
          <w:tab w:val="left" w:pos="8113"/>
        </w:tabs>
        <w:spacing w:before="108" w:after="0" w:line="240" w:lineRule="auto"/>
        <w:ind w:left="117" w:right="0" w:firstLine="440"/>
        <w:jc w:val="left"/>
        <w:rPr>
          <w:sz w:val="22"/>
          <w:u w:val="none"/>
        </w:rPr>
      </w:pPr>
      <w:r>
        <w:rPr>
          <w:color w:val="231F20"/>
          <w:sz w:val="22"/>
          <w:u w:val="none"/>
        </w:rPr>
        <w:t>一次性付款方式。林地经营权流转价款按每年每亩为</w:t>
      </w:r>
      <w:r>
        <w:rPr>
          <w:color w:val="231F20"/>
          <w:sz w:val="22"/>
          <w:u w:val="single" w:color="231F20"/>
        </w:rPr>
        <w:t xml:space="preserve"> </w:t>
      </w:r>
      <w:r>
        <w:rPr>
          <w:rFonts w:hint="eastAsia"/>
          <w:color w:val="231F20"/>
          <w:sz w:val="22"/>
          <w:u w:val="single" w:color="231F20"/>
          <w:lang w:val="en-US" w:eastAsia="zh-CN"/>
        </w:rPr>
        <w:t xml:space="preserve">    /</w:t>
      </w:r>
      <w:r>
        <w:rPr>
          <w:color w:val="231F20"/>
          <w:sz w:val="22"/>
          <w:u w:val="single" w:color="231F20"/>
        </w:rPr>
        <w:tab/>
      </w:r>
      <w:r>
        <w:rPr>
          <w:color w:val="231F20"/>
          <w:sz w:val="22"/>
          <w:u w:val="none"/>
        </w:rPr>
        <w:t>元，面积</w:t>
      </w:r>
      <w:r>
        <w:rPr>
          <w:color w:val="231F20"/>
          <w:sz w:val="22"/>
          <w:u w:val="single" w:color="231F20"/>
        </w:rPr>
        <w:t xml:space="preserve"> </w:t>
      </w:r>
      <w:r>
        <w:rPr>
          <w:rFonts w:hint="eastAsia"/>
          <w:color w:val="231F20"/>
          <w:sz w:val="22"/>
          <w:u w:val="single" w:color="231F20"/>
          <w:lang w:val="en-US" w:eastAsia="zh-CN"/>
        </w:rPr>
        <w:t xml:space="preserve">   /</w:t>
      </w:r>
      <w:r>
        <w:rPr>
          <w:color w:val="231F20"/>
          <w:sz w:val="22"/>
          <w:u w:val="single" w:color="231F20"/>
        </w:rPr>
        <w:tab/>
      </w:r>
      <w:r>
        <w:rPr>
          <w:color w:val="231F20"/>
          <w:sz w:val="22"/>
          <w:u w:val="none"/>
        </w:rPr>
        <w:t>亩</w:t>
      </w:r>
      <w:r>
        <w:rPr>
          <w:color w:val="231F20"/>
          <w:spacing w:val="-35"/>
          <w:sz w:val="22"/>
          <w:u w:val="none"/>
        </w:rPr>
        <w:t>，</w:t>
      </w:r>
      <w:r>
        <w:rPr>
          <w:color w:val="231F20"/>
          <w:sz w:val="22"/>
          <w:u w:val="none"/>
        </w:rPr>
        <w:t>共计为</w:t>
      </w:r>
    </w:p>
    <w:p w14:paraId="5A26402E">
      <w:pPr>
        <w:pStyle w:val="3"/>
        <w:tabs>
          <w:tab w:val="left" w:pos="659"/>
          <w:tab w:val="left" w:pos="5728"/>
          <w:tab w:val="left" w:pos="7502"/>
        </w:tabs>
        <w:spacing w:before="108"/>
        <w:ind w:right="93"/>
        <w:jc w:val="center"/>
      </w:pPr>
      <w:r>
        <w:rPr>
          <w:rFonts w:ascii="Times New Roman" w:eastAsia="Times New Roman"/>
          <w:color w:val="231F20"/>
          <w:u w:val="single" w:color="231F20"/>
        </w:rPr>
        <w:t xml:space="preserve"> </w:t>
      </w:r>
      <w:r>
        <w:rPr>
          <w:rFonts w:hint="eastAsia" w:ascii="Times New Roman" w:eastAsia="宋体"/>
          <w:color w:val="231F20"/>
          <w:u w:val="single" w:color="231F20"/>
          <w:lang w:val="en-US" w:eastAsia="zh-CN"/>
        </w:rPr>
        <w:t xml:space="preserve">    /</w:t>
      </w:r>
      <w:r>
        <w:rPr>
          <w:rFonts w:ascii="Times New Roman" w:eastAsia="Times New Roman"/>
          <w:color w:val="231F20"/>
          <w:u w:val="single" w:color="231F20"/>
        </w:rPr>
        <w:tab/>
      </w:r>
      <w:r>
        <w:rPr>
          <w:color w:val="231F20"/>
        </w:rPr>
        <w:t>元</w:t>
      </w:r>
      <w:r>
        <w:rPr>
          <w:color w:val="231F20"/>
          <w:spacing w:val="2"/>
        </w:rPr>
        <w:t>，如林地上的林木一并转让</w:t>
      </w:r>
      <w:r>
        <w:rPr>
          <w:color w:val="231F20"/>
        </w:rPr>
        <w:t>的</w:t>
      </w:r>
      <w:r>
        <w:rPr>
          <w:color w:val="231F20"/>
          <w:spacing w:val="2"/>
        </w:rPr>
        <w:t>，按每年每</w:t>
      </w:r>
      <w:r>
        <w:rPr>
          <w:color w:val="231F20"/>
        </w:rPr>
        <w:t>亩</w:t>
      </w:r>
      <w:r>
        <w:rPr>
          <w:color w:val="231F20"/>
          <w:u w:val="single" w:color="231F20"/>
        </w:rPr>
        <w:t xml:space="preserve"> </w:t>
      </w:r>
      <w:r>
        <w:rPr>
          <w:rFonts w:hint="eastAsia"/>
          <w:color w:val="231F20"/>
          <w:u w:val="single" w:color="231F20"/>
          <w:lang w:val="en-US" w:eastAsia="zh-CN"/>
        </w:rPr>
        <w:t xml:space="preserve">   /</w:t>
      </w:r>
      <w:r>
        <w:rPr>
          <w:color w:val="231F20"/>
          <w:u w:val="single" w:color="231F20"/>
        </w:rPr>
        <w:tab/>
      </w:r>
      <w:r>
        <w:rPr>
          <w:color w:val="231F20"/>
        </w:rPr>
        <w:t>元</w:t>
      </w:r>
      <w:r>
        <w:rPr>
          <w:color w:val="231F20"/>
          <w:spacing w:val="2"/>
        </w:rPr>
        <w:t>，共</w:t>
      </w:r>
      <w:r>
        <w:rPr>
          <w:color w:val="231F20"/>
        </w:rPr>
        <w:t>计</w:t>
      </w:r>
      <w:r>
        <w:rPr>
          <w:color w:val="231F20"/>
          <w:u w:val="single" w:color="231F20"/>
        </w:rPr>
        <w:t xml:space="preserve"> </w:t>
      </w:r>
      <w:r>
        <w:rPr>
          <w:rFonts w:hint="eastAsia"/>
          <w:color w:val="231F20"/>
          <w:u w:val="single" w:color="231F20"/>
          <w:lang w:val="en-US" w:eastAsia="zh-CN"/>
        </w:rPr>
        <w:t xml:space="preserve">     /</w:t>
      </w:r>
      <w:r>
        <w:rPr>
          <w:color w:val="231F20"/>
          <w:u w:val="single" w:color="231F20"/>
        </w:rPr>
        <w:tab/>
      </w:r>
      <w:r>
        <w:rPr>
          <w:color w:val="231F20"/>
        </w:rPr>
        <w:t>元</w:t>
      </w:r>
      <w:r>
        <w:rPr>
          <w:color w:val="231F20"/>
          <w:spacing w:val="2"/>
        </w:rPr>
        <w:t>，支付时间为</w:t>
      </w:r>
    </w:p>
    <w:p w14:paraId="280088BF">
      <w:pPr>
        <w:pStyle w:val="3"/>
        <w:tabs>
          <w:tab w:val="left" w:pos="997"/>
          <w:tab w:val="left" w:pos="1657"/>
          <w:tab w:val="left" w:pos="2317"/>
        </w:tabs>
        <w:spacing w:before="108"/>
        <w:ind w:left="117"/>
      </w:pPr>
      <w:r>
        <w:rPr>
          <w:rFonts w:ascii="Times New Roman" w:eastAsia="Times New Roman"/>
          <w:color w:val="231F20"/>
          <w:u w:val="single" w:color="231F20"/>
        </w:rPr>
        <w:t xml:space="preserve"> </w:t>
      </w:r>
      <w:r>
        <w:rPr>
          <w:rFonts w:hint="eastAsia" w:ascii="Times New Roman" w:eastAsia="宋体"/>
          <w:color w:val="231F20"/>
          <w:u w:val="single" w:color="231F20"/>
          <w:lang w:val="en-US" w:eastAsia="zh-CN"/>
        </w:rPr>
        <w:t xml:space="preserve">     /</w:t>
      </w:r>
      <w:r>
        <w:rPr>
          <w:rFonts w:ascii="Times New Roman" w:eastAsia="Times New Roman"/>
          <w:color w:val="231F20"/>
          <w:u w:val="single" w:color="231F20"/>
        </w:rPr>
        <w:tab/>
      </w:r>
      <w:r>
        <w:rPr>
          <w:color w:val="231F20"/>
        </w:rPr>
        <w:t>年</w:t>
      </w:r>
      <w:r>
        <w:rPr>
          <w:color w:val="231F20"/>
          <w:u w:val="single" w:color="231F20"/>
        </w:rPr>
        <w:t xml:space="preserve"> </w:t>
      </w:r>
      <w:r>
        <w:rPr>
          <w:rFonts w:hint="eastAsia"/>
          <w:color w:val="231F20"/>
          <w:u w:val="single" w:color="231F20"/>
          <w:lang w:val="en-US" w:eastAsia="zh-CN"/>
        </w:rPr>
        <w:t xml:space="preserve"> /</w:t>
      </w:r>
      <w:r>
        <w:rPr>
          <w:color w:val="231F20"/>
          <w:u w:val="single" w:color="231F20"/>
        </w:rPr>
        <w:tab/>
      </w:r>
      <w:r>
        <w:rPr>
          <w:color w:val="231F20"/>
        </w:rPr>
        <w:t>月</w:t>
      </w:r>
      <w:r>
        <w:rPr>
          <w:color w:val="231F20"/>
          <w:u w:val="single" w:color="231F20"/>
        </w:rPr>
        <w:t xml:space="preserve"> </w:t>
      </w:r>
      <w:r>
        <w:rPr>
          <w:rFonts w:hint="eastAsia"/>
          <w:color w:val="231F20"/>
          <w:u w:val="single" w:color="231F20"/>
          <w:lang w:val="en-US" w:eastAsia="zh-CN"/>
        </w:rPr>
        <w:t xml:space="preserve">  /</w:t>
      </w:r>
      <w:r>
        <w:rPr>
          <w:color w:val="231F20"/>
          <w:u w:val="single" w:color="231F20"/>
        </w:rPr>
        <w:tab/>
      </w:r>
      <w:r>
        <w:rPr>
          <w:color w:val="231F20"/>
        </w:rPr>
        <w:t>日。</w:t>
      </w:r>
    </w:p>
    <w:p w14:paraId="0AF17629">
      <w:pPr>
        <w:pStyle w:val="7"/>
        <w:numPr>
          <w:ilvl w:val="0"/>
          <w:numId w:val="1"/>
        </w:numPr>
        <w:tabs>
          <w:tab w:val="left" w:pos="777"/>
          <w:tab w:val="left" w:pos="1663"/>
          <w:tab w:val="left" w:pos="1883"/>
          <w:tab w:val="left" w:pos="3427"/>
          <w:tab w:val="left" w:pos="3656"/>
          <w:tab w:val="left" w:pos="5414"/>
          <w:tab w:val="left" w:pos="7195"/>
          <w:tab w:val="left" w:pos="8895"/>
        </w:tabs>
        <w:spacing w:before="108" w:after="0" w:line="319" w:lineRule="auto"/>
        <w:ind w:left="117" w:right="105" w:firstLine="440"/>
        <w:jc w:val="left"/>
        <w:rPr>
          <w:sz w:val="22"/>
          <w:u w:val="none"/>
        </w:rPr>
      </w:pPr>
      <w:r>
        <w:rPr>
          <w:color w:val="231F20"/>
          <w:sz w:val="22"/>
          <w:u w:val="none"/>
        </w:rPr>
        <w:t>分期付款方式。共分为</w:t>
      </w:r>
      <w:r>
        <w:rPr>
          <w:color w:val="231F20"/>
          <w:sz w:val="22"/>
          <w:u w:val="single" w:color="231F20"/>
        </w:rPr>
        <w:t xml:space="preserve"> </w:t>
      </w:r>
      <w:r>
        <w:rPr>
          <w:rFonts w:hint="eastAsia"/>
          <w:color w:val="231F20"/>
          <w:sz w:val="22"/>
          <w:u w:val="single" w:color="231F20"/>
          <w:lang w:val="en-US" w:eastAsia="zh-CN"/>
        </w:rPr>
        <w:t>25</w:t>
      </w:r>
      <w:r>
        <w:rPr>
          <w:color w:val="231F20"/>
          <w:sz w:val="22"/>
          <w:u w:val="single" w:color="231F20"/>
        </w:rPr>
        <w:tab/>
      </w:r>
      <w:r>
        <w:rPr>
          <w:color w:val="231F20"/>
          <w:sz w:val="22"/>
          <w:u w:val="none"/>
        </w:rPr>
        <w:t>期，每期</w:t>
      </w:r>
      <w:r>
        <w:rPr>
          <w:color w:val="231F20"/>
          <w:sz w:val="22"/>
          <w:u w:val="single" w:color="231F20"/>
        </w:rPr>
        <w:t xml:space="preserve"> </w:t>
      </w:r>
      <w:r>
        <w:rPr>
          <w:rFonts w:hint="eastAsia"/>
          <w:color w:val="231F20"/>
          <w:sz w:val="22"/>
          <w:u w:val="single" w:color="231F20"/>
          <w:lang w:val="en-US" w:eastAsia="zh-CN"/>
        </w:rPr>
        <w:t xml:space="preserve">  1   </w:t>
      </w:r>
      <w:r>
        <w:rPr>
          <w:color w:val="231F20"/>
          <w:sz w:val="22"/>
          <w:u w:val="none"/>
        </w:rPr>
        <w:t>年，每</w:t>
      </w:r>
      <w:r>
        <w:rPr>
          <w:rFonts w:hint="eastAsia"/>
          <w:color w:val="231F20"/>
          <w:sz w:val="22"/>
          <w:u w:val="single" w:color="auto"/>
          <w:lang w:val="en-US" w:eastAsia="zh-CN"/>
        </w:rPr>
        <w:t xml:space="preserve">  5  </w:t>
      </w:r>
      <w:r>
        <w:rPr>
          <w:color w:val="231F20"/>
          <w:sz w:val="22"/>
          <w:u w:val="none"/>
        </w:rPr>
        <w:t>期林地流转价款递增</w:t>
      </w:r>
      <w:r>
        <w:rPr>
          <w:color w:val="231F20"/>
          <w:sz w:val="22"/>
          <w:u w:val="single" w:color="231F20"/>
        </w:rPr>
        <w:t xml:space="preserve"> </w:t>
      </w:r>
      <w:r>
        <w:rPr>
          <w:rFonts w:hint="eastAsia"/>
          <w:color w:val="231F20"/>
          <w:sz w:val="22"/>
          <w:u w:val="single" w:color="231F20"/>
          <w:lang w:val="en-US" w:eastAsia="zh-CN"/>
        </w:rPr>
        <w:t>10</w:t>
      </w:r>
      <w:r>
        <w:rPr>
          <w:color w:val="231F20"/>
          <w:spacing w:val="-1"/>
          <w:sz w:val="22"/>
          <w:u w:val="none"/>
        </w:rPr>
        <w:t>%。</w:t>
      </w:r>
      <w:r>
        <w:rPr>
          <w:color w:val="231F20"/>
          <w:sz w:val="22"/>
          <w:u w:val="none"/>
        </w:rPr>
        <w:t>合同生效后</w:t>
      </w:r>
      <w:r>
        <w:rPr>
          <w:color w:val="231F20"/>
          <w:sz w:val="22"/>
          <w:u w:val="single" w:color="231F20"/>
        </w:rPr>
        <w:t xml:space="preserve"> </w:t>
      </w:r>
      <w:r>
        <w:rPr>
          <w:rFonts w:hint="eastAsia"/>
          <w:color w:val="231F20"/>
          <w:sz w:val="22"/>
          <w:u w:val="single" w:color="231F20"/>
          <w:lang w:val="en-US" w:eastAsia="zh-CN"/>
        </w:rPr>
        <w:t xml:space="preserve">3    </w:t>
      </w:r>
      <w:r>
        <w:rPr>
          <w:color w:val="231F20"/>
          <w:sz w:val="22"/>
          <w:u w:val="none"/>
        </w:rPr>
        <w:t>日内由</w:t>
      </w:r>
      <w:r>
        <w:rPr>
          <w:color w:val="FF0000"/>
          <w:sz w:val="22"/>
          <w:u w:val="none"/>
        </w:rPr>
        <w:t>乙方向甲方一次性支付</w:t>
      </w:r>
      <w:r>
        <w:rPr>
          <w:color w:val="231F20"/>
          <w:sz w:val="22"/>
          <w:u w:val="none"/>
        </w:rPr>
        <w:t>第一期的流转价款</w:t>
      </w:r>
      <w:r>
        <w:rPr>
          <w:color w:val="231F20"/>
          <w:sz w:val="22"/>
          <w:u w:val="single" w:color="231F20"/>
        </w:rPr>
        <w:t xml:space="preserve"> </w:t>
      </w:r>
      <w:r>
        <w:rPr>
          <w:rFonts w:hint="eastAsia"/>
          <w:color w:val="231F20"/>
          <w:sz w:val="22"/>
          <w:u w:val="single" w:color="231F20"/>
          <w:lang w:val="en-US" w:eastAsia="zh-CN"/>
        </w:rPr>
        <w:t xml:space="preserve">                     </w:t>
      </w:r>
      <w:r>
        <w:rPr>
          <w:color w:val="231F20"/>
          <w:sz w:val="22"/>
          <w:u w:val="none"/>
        </w:rPr>
        <w:t>元，以及林地上的林 木转让款</w:t>
      </w:r>
      <w:r>
        <w:rPr>
          <w:color w:val="231F20"/>
          <w:sz w:val="22"/>
          <w:u w:val="single" w:color="231F20"/>
        </w:rPr>
        <w:t xml:space="preserve"> </w:t>
      </w:r>
      <w:r>
        <w:rPr>
          <w:rFonts w:hint="eastAsia"/>
          <w:color w:val="231F20"/>
          <w:sz w:val="22"/>
          <w:u w:val="single" w:color="231F20"/>
          <w:lang w:val="en-US" w:eastAsia="zh-CN"/>
        </w:rPr>
        <w:t xml:space="preserve"> /</w:t>
      </w:r>
      <w:r>
        <w:rPr>
          <w:color w:val="231F20"/>
          <w:sz w:val="22"/>
          <w:u w:val="single" w:color="231F20"/>
        </w:rPr>
        <w:tab/>
      </w:r>
      <w:r>
        <w:rPr>
          <w:color w:val="231F20"/>
          <w:sz w:val="22"/>
          <w:u w:val="none"/>
        </w:rPr>
        <w:t>元，共</w:t>
      </w:r>
      <w:r>
        <w:rPr>
          <w:color w:val="231F20"/>
          <w:sz w:val="22"/>
          <w:u w:val="single" w:color="231F20"/>
        </w:rPr>
        <w:t xml:space="preserve"> </w:t>
      </w:r>
      <w:r>
        <w:rPr>
          <w:rFonts w:hint="eastAsia"/>
          <w:color w:val="231F20"/>
          <w:sz w:val="22"/>
          <w:u w:val="single" w:color="231F20"/>
          <w:lang w:val="en-US" w:eastAsia="zh-CN"/>
        </w:rPr>
        <w:t xml:space="preserve">  /   </w:t>
      </w:r>
      <w:r>
        <w:rPr>
          <w:color w:val="231F20"/>
          <w:sz w:val="22"/>
          <w:u w:val="none"/>
        </w:rPr>
        <w:t>元。以后每</w:t>
      </w:r>
      <w:r>
        <w:rPr>
          <w:color w:val="231F20"/>
          <w:sz w:val="22"/>
          <w:u w:val="single" w:color="231F20"/>
        </w:rPr>
        <w:t xml:space="preserve"> </w:t>
      </w:r>
      <w:r>
        <w:rPr>
          <w:color w:val="231F20"/>
          <w:sz w:val="22"/>
          <w:u w:val="single" w:color="231F20"/>
        </w:rPr>
        <w:tab/>
      </w:r>
      <w:r>
        <w:rPr>
          <w:color w:val="231F20"/>
          <w:sz w:val="22"/>
          <w:u w:val="none"/>
        </w:rPr>
        <w:t>年于当年月日前由乙方向甲方支付下一 期的林地流转价款。</w:t>
      </w:r>
    </w:p>
    <w:p w14:paraId="1378AEBD">
      <w:pPr>
        <w:spacing w:after="0" w:line="319" w:lineRule="auto"/>
        <w:jc w:val="left"/>
        <w:rPr>
          <w:sz w:val="22"/>
        </w:rPr>
        <w:sectPr>
          <w:pgSz w:w="11910" w:h="16840"/>
          <w:pgMar w:top="1580" w:right="1200" w:bottom="1020" w:left="1300" w:header="0" w:footer="832" w:gutter="0"/>
          <w:cols w:space="720" w:num="1"/>
        </w:sectPr>
      </w:pPr>
    </w:p>
    <w:p w14:paraId="6C721E32">
      <w:pPr>
        <w:pStyle w:val="7"/>
        <w:numPr>
          <w:ilvl w:val="0"/>
          <w:numId w:val="1"/>
        </w:numPr>
        <w:tabs>
          <w:tab w:val="left" w:pos="776"/>
          <w:tab w:val="left" w:pos="9078"/>
        </w:tabs>
        <w:spacing w:before="24" w:after="0" w:line="240" w:lineRule="auto"/>
        <w:ind w:left="775" w:right="0" w:hanging="218"/>
        <w:jc w:val="left"/>
        <w:rPr>
          <w:sz w:val="22"/>
          <w:u w:val="none"/>
        </w:rPr>
      </w:pPr>
      <w:r>
        <w:rPr>
          <w:color w:val="231F20"/>
          <w:sz w:val="22"/>
          <w:u w:val="none"/>
        </w:rPr>
        <w:t>以实物或者实物折资方式</w:t>
      </w:r>
      <w:r>
        <w:rPr>
          <w:color w:val="231F20"/>
          <w:sz w:val="22"/>
          <w:u w:val="single" w:color="231F20"/>
        </w:rPr>
        <w:t>：</w:t>
      </w:r>
      <w:r>
        <w:rPr>
          <w:rFonts w:hint="eastAsia"/>
          <w:color w:val="231F20"/>
          <w:sz w:val="22"/>
          <w:u w:val="single" w:color="231F20"/>
          <w:lang w:val="en-US" w:eastAsia="zh-CN"/>
        </w:rPr>
        <w:t xml:space="preserve">   /</w:t>
      </w:r>
      <w:r>
        <w:rPr>
          <w:color w:val="231F20"/>
          <w:sz w:val="22"/>
          <w:u w:val="single" w:color="231F20"/>
        </w:rPr>
        <w:tab/>
      </w:r>
      <w:r>
        <w:rPr>
          <w:color w:val="231F20"/>
          <w:sz w:val="22"/>
          <w:u w:val="none"/>
        </w:rPr>
        <w:t>。</w:t>
      </w:r>
    </w:p>
    <w:p w14:paraId="5C8867C0">
      <w:pPr>
        <w:pStyle w:val="7"/>
        <w:numPr>
          <w:ilvl w:val="0"/>
          <w:numId w:val="1"/>
        </w:numPr>
        <w:tabs>
          <w:tab w:val="left" w:pos="776"/>
          <w:tab w:val="left" w:pos="9078"/>
        </w:tabs>
        <w:spacing w:before="109" w:after="0" w:line="240" w:lineRule="auto"/>
        <w:ind w:left="775" w:right="0" w:hanging="218"/>
        <w:jc w:val="left"/>
        <w:rPr>
          <w:sz w:val="22"/>
          <w:u w:val="none"/>
        </w:rPr>
      </w:pPr>
      <w:r>
        <w:rPr>
          <w:color w:val="231F20"/>
          <w:sz w:val="22"/>
          <w:u w:val="none"/>
        </w:rPr>
        <w:t>其他方式</w:t>
      </w:r>
      <w:r>
        <w:rPr>
          <w:color w:val="231F20"/>
          <w:sz w:val="22"/>
          <w:u w:val="single" w:color="231F20"/>
        </w:rPr>
        <w:t>：</w:t>
      </w:r>
      <w:r>
        <w:rPr>
          <w:rFonts w:hint="eastAsia"/>
          <w:color w:val="231F20"/>
          <w:sz w:val="22"/>
          <w:u w:val="single" w:color="231F20"/>
          <w:lang w:val="en-US" w:eastAsia="zh-CN"/>
        </w:rPr>
        <w:t xml:space="preserve">  /</w:t>
      </w:r>
      <w:r>
        <w:rPr>
          <w:color w:val="231F20"/>
          <w:sz w:val="22"/>
          <w:u w:val="single" w:color="231F20"/>
        </w:rPr>
        <w:tab/>
      </w:r>
      <w:r>
        <w:rPr>
          <w:color w:val="231F20"/>
          <w:sz w:val="22"/>
          <w:u w:val="none"/>
        </w:rPr>
        <w:t>。</w:t>
      </w:r>
    </w:p>
    <w:p w14:paraId="2F640A08">
      <w:pPr>
        <w:pStyle w:val="3"/>
        <w:tabs>
          <w:tab w:val="left" w:pos="9188"/>
        </w:tabs>
        <w:spacing w:before="109"/>
        <w:ind w:left="447"/>
        <w:rPr>
          <w:rFonts w:ascii="Times New Roman" w:hAnsi="Times New Roman" w:eastAsia="Times New Roman"/>
        </w:rPr>
      </w:pPr>
      <w:r>
        <w:rPr>
          <w:color w:val="231F20"/>
        </w:rPr>
        <w:t>（二）公益林或天然林流转的，森林生态效益补偿资金由□甲方□乙方受偿</w:t>
      </w:r>
      <w:r>
        <w:rPr>
          <w:color w:val="231F20"/>
          <w:spacing w:val="-56"/>
        </w:rPr>
        <w:t>，</w:t>
      </w:r>
      <w:r>
        <w:rPr>
          <w:color w:val="231F20"/>
        </w:rPr>
        <w:t>或者</w:t>
      </w:r>
      <w:r>
        <w:rPr>
          <w:rFonts w:ascii="Times New Roman" w:hAnsi="Times New Roman" w:eastAsia="Times New Roman"/>
          <w:color w:val="231F20"/>
          <w:u w:val="single" w:color="231F20"/>
        </w:rPr>
        <w:t xml:space="preserve"> </w:t>
      </w:r>
      <w:r>
        <w:rPr>
          <w:rFonts w:hint="eastAsia" w:ascii="Times New Roman" w:hAnsi="Times New Roman" w:eastAsia="宋体"/>
          <w:color w:val="231F20"/>
          <w:u w:val="single" w:color="231F20"/>
          <w:lang w:val="en-US" w:eastAsia="zh-CN"/>
        </w:rPr>
        <w:t xml:space="preserve">  /</w:t>
      </w:r>
      <w:r>
        <w:rPr>
          <w:rFonts w:ascii="Times New Roman" w:hAnsi="Times New Roman" w:eastAsia="Times New Roman"/>
          <w:color w:val="231F20"/>
          <w:u w:val="single" w:color="231F20"/>
        </w:rPr>
        <w:tab/>
      </w:r>
    </w:p>
    <w:p w14:paraId="0DA02CBE">
      <w:pPr>
        <w:pStyle w:val="3"/>
        <w:tabs>
          <w:tab w:val="left" w:pos="3717"/>
        </w:tabs>
        <w:spacing w:before="109"/>
        <w:ind w:left="11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rPr>
        <w:t>。</w:t>
      </w:r>
    </w:p>
    <w:p w14:paraId="7FEA7ACD">
      <w:pPr>
        <w:pStyle w:val="3"/>
        <w:tabs>
          <w:tab w:val="left" w:pos="3208"/>
          <w:tab w:val="left" w:pos="8963"/>
        </w:tabs>
        <w:spacing w:before="109" w:line="319" w:lineRule="auto"/>
        <w:ind w:left="117" w:right="214" w:firstLine="330"/>
      </w:pPr>
      <w:r>
        <w:rPr>
          <w:color w:val="231F20"/>
          <w:spacing w:val="2"/>
        </w:rPr>
        <w:t>（三）双方本着自愿公平原则约定</w:t>
      </w:r>
      <w:r>
        <w:rPr>
          <w:rFonts w:hint="eastAsia"/>
          <w:color w:val="231F20"/>
          <w:spacing w:val="2"/>
          <w:lang w:val="en-US" w:eastAsia="zh-CN"/>
        </w:rPr>
        <w:t>履约保证金</w:t>
      </w:r>
      <w:r>
        <w:rPr>
          <w:color w:val="231F20"/>
          <w:spacing w:val="2"/>
        </w:rPr>
        <w:t>事</w:t>
      </w:r>
      <w:r>
        <w:rPr>
          <w:color w:val="231F20"/>
        </w:rPr>
        <w:t>宜</w:t>
      </w:r>
      <w:r>
        <w:rPr>
          <w:color w:val="231F20"/>
          <w:spacing w:val="2"/>
        </w:rPr>
        <w:t>。如需支付</w:t>
      </w:r>
      <w:r>
        <w:rPr>
          <w:rFonts w:hint="eastAsia"/>
          <w:color w:val="231F20"/>
          <w:spacing w:val="2"/>
          <w:lang w:val="en-US" w:eastAsia="zh-CN"/>
        </w:rPr>
        <w:t>履约保证金</w:t>
      </w:r>
      <w:r>
        <w:rPr>
          <w:color w:val="231F20"/>
          <w:spacing w:val="2"/>
        </w:rPr>
        <w:t>，应在本合同生效</w:t>
      </w:r>
      <w:r>
        <w:rPr>
          <w:color w:val="231F20"/>
        </w:rPr>
        <w:t>后</w:t>
      </w:r>
      <w:r>
        <w:rPr>
          <w:color w:val="231F20"/>
          <w:u w:val="single" w:color="231F20"/>
        </w:rPr>
        <w:t xml:space="preserve"> </w:t>
      </w:r>
      <w:r>
        <w:rPr>
          <w:rFonts w:hint="eastAsia"/>
          <w:color w:val="231F20"/>
          <w:u w:val="single" w:color="231F20"/>
          <w:lang w:val="en-US" w:eastAsia="zh-CN"/>
        </w:rPr>
        <w:t>7</w:t>
      </w:r>
      <w:r>
        <w:rPr>
          <w:color w:val="231F20"/>
          <w:u w:val="single" w:color="231F20"/>
        </w:rPr>
        <w:tab/>
      </w:r>
      <w:r>
        <w:rPr>
          <w:rFonts w:hint="eastAsia"/>
          <w:color w:val="231F20"/>
          <w:lang w:val="en-US" w:eastAsia="zh-CN"/>
        </w:rPr>
        <w:t>个工作日</w:t>
      </w:r>
      <w:r>
        <w:rPr>
          <w:color w:val="231F20"/>
        </w:rPr>
        <w:t>内，乙方向甲方支付</w:t>
      </w:r>
      <w:r>
        <w:rPr>
          <w:color w:val="231F20"/>
          <w:u w:val="single" w:color="231F20"/>
        </w:rPr>
        <w:t xml:space="preserve"> </w:t>
      </w:r>
      <w:r>
        <w:rPr>
          <w:rFonts w:hint="eastAsia"/>
          <w:color w:val="FF0000"/>
          <w:u w:val="single" w:color="231F20"/>
          <w:lang w:val="en-US" w:eastAsia="zh-CN"/>
        </w:rPr>
        <w:t>10000</w:t>
      </w:r>
      <w:r>
        <w:rPr>
          <w:color w:val="FF0000"/>
          <w:u w:val="single" w:color="231F20"/>
        </w:rPr>
        <w:tab/>
      </w:r>
      <w:r>
        <w:rPr>
          <w:color w:val="FF0000"/>
        </w:rPr>
        <w:t>元作为合同</w:t>
      </w:r>
      <w:r>
        <w:rPr>
          <w:rFonts w:hint="eastAsia"/>
          <w:color w:val="FF0000"/>
        </w:rPr>
        <w:t>履约保证金</w:t>
      </w:r>
      <w:r>
        <w:rPr>
          <w:color w:val="231F20"/>
        </w:rPr>
        <w:t>。采取一次性付款的，</w:t>
      </w:r>
      <w:r>
        <w:rPr>
          <w:rFonts w:hint="eastAsia"/>
          <w:color w:val="231F20"/>
        </w:rPr>
        <w:t>履约保证金</w:t>
      </w:r>
      <w:r>
        <w:rPr>
          <w:color w:val="231F20"/>
        </w:rPr>
        <w:t>在流转合同期满后</w:t>
      </w:r>
    </w:p>
    <w:p w14:paraId="17205864">
      <w:pPr>
        <w:pStyle w:val="3"/>
        <w:tabs>
          <w:tab w:val="left" w:pos="1217"/>
        </w:tabs>
        <w:spacing w:before="26"/>
        <w:ind w:left="117"/>
      </w:pPr>
      <w:r>
        <w:rPr>
          <w:rFonts w:ascii="Times New Roman" w:eastAsia="Times New Roman"/>
          <w:color w:val="231F20"/>
          <w:u w:val="single" w:color="231F20"/>
        </w:rPr>
        <w:t xml:space="preserve"> </w:t>
      </w:r>
      <w:r>
        <w:rPr>
          <w:rFonts w:hint="eastAsia" w:ascii="Times New Roman" w:eastAsia="宋体"/>
          <w:color w:val="231F20"/>
          <w:u w:val="single" w:color="231F20"/>
          <w:lang w:val="en-US" w:eastAsia="zh-CN"/>
        </w:rPr>
        <w:t xml:space="preserve">      7</w:t>
      </w:r>
      <w:r>
        <w:rPr>
          <w:rFonts w:ascii="Times New Roman" w:eastAsia="Times New Roman"/>
          <w:color w:val="231F20"/>
          <w:u w:val="single" w:color="231F20"/>
        </w:rPr>
        <w:tab/>
      </w:r>
      <w:r>
        <w:rPr>
          <w:color w:val="231F20"/>
        </w:rPr>
        <w:t>日内一次性返还。分期付款的，</w:t>
      </w:r>
      <w:r>
        <w:rPr>
          <w:rFonts w:hint="eastAsia"/>
          <w:color w:val="231F20"/>
        </w:rPr>
        <w:t>履约保证金</w:t>
      </w:r>
      <w:r>
        <w:rPr>
          <w:color w:val="231F20"/>
        </w:rPr>
        <w:t>在最后一期的流转价款中抵扣。</w:t>
      </w:r>
    </w:p>
    <w:p w14:paraId="47038A33">
      <w:pPr>
        <w:pStyle w:val="3"/>
        <w:tabs>
          <w:tab w:val="left" w:pos="1437"/>
        </w:tabs>
        <w:spacing w:before="103"/>
        <w:ind w:left="557"/>
      </w:pPr>
      <w:r>
        <w:rPr>
          <w:rFonts w:hint="eastAsia" w:ascii="方正黑体_GBK" w:eastAsia="方正黑体_GBK"/>
          <w:color w:val="231F20"/>
        </w:rPr>
        <w:t>第四条</w:t>
      </w:r>
      <w:r>
        <w:rPr>
          <w:rFonts w:hint="eastAsia" w:ascii="方正黑体_GBK" w:eastAsia="方正黑体_GBK"/>
          <w:color w:val="231F20"/>
        </w:rPr>
        <w:tab/>
      </w:r>
      <w:r>
        <w:rPr>
          <w:color w:val="231F20"/>
        </w:rPr>
        <w:t>甲方的权利和义务</w:t>
      </w:r>
    </w:p>
    <w:p w14:paraId="3E25F06E">
      <w:pPr>
        <w:pStyle w:val="3"/>
        <w:spacing w:before="109" w:line="319" w:lineRule="auto"/>
        <w:ind w:left="117" w:right="214" w:firstLine="330"/>
      </w:pPr>
      <w:r>
        <w:rPr>
          <w:color w:val="231F20"/>
        </w:rPr>
        <w:t>（一）有权依法获得流转收益，有权要求乙方按合同规定缴交林权流转价款。有权要求乙方依照合同约定的用途合理利用和保护林地。</w:t>
      </w:r>
    </w:p>
    <w:p w14:paraId="23BEC0F0">
      <w:pPr>
        <w:pStyle w:val="3"/>
        <w:spacing w:before="26"/>
        <w:ind w:left="447"/>
      </w:pPr>
      <w:r>
        <w:rPr>
          <w:color w:val="231F20"/>
        </w:rPr>
        <w:t>（二）有权在本合同约定的流转林地期限届满后收回流转林地经营权。</w:t>
      </w:r>
    </w:p>
    <w:p w14:paraId="2E2C40F1">
      <w:pPr>
        <w:pStyle w:val="3"/>
        <w:spacing w:before="109" w:line="319" w:lineRule="auto"/>
        <w:ind w:left="117" w:right="214" w:firstLine="330"/>
      </w:pPr>
      <w:r>
        <w:rPr>
          <w:color w:val="231F20"/>
        </w:rPr>
        <w:t>（三）所提供的林地林木权属应清晰、合法，无权属纠纷和经济纠纷。如在流转后发现原转出的林地林木存在权属纠纷或经济纠纷的，甲方应当负责处理并承担相应责任。</w:t>
      </w:r>
    </w:p>
    <w:p w14:paraId="3853FF35">
      <w:pPr>
        <w:pStyle w:val="3"/>
        <w:spacing w:before="25" w:line="319" w:lineRule="auto"/>
        <w:ind w:left="117" w:right="214" w:firstLine="330"/>
      </w:pPr>
      <w:r>
        <w:rPr>
          <w:color w:val="231F20"/>
        </w:rPr>
        <w:t>（四）提供所流转林地范围的全国统一式样的林权证或不动产权证书，并配合乙方（受让方）依法办理不动产登记相关手续。</w:t>
      </w:r>
    </w:p>
    <w:p w14:paraId="0CF4954B">
      <w:pPr>
        <w:pStyle w:val="3"/>
        <w:spacing w:before="25" w:line="319" w:lineRule="auto"/>
        <w:ind w:left="117" w:right="214" w:firstLine="330"/>
      </w:pPr>
      <w:r>
        <w:rPr>
          <w:color w:val="231F20"/>
        </w:rPr>
        <w:t>（五）不干涉和破坏乙方的正常生产经营活动。协助乙方做好护林防火和林区治安管理工作。</w:t>
      </w:r>
    </w:p>
    <w:p w14:paraId="424BBBCF">
      <w:pPr>
        <w:pStyle w:val="3"/>
        <w:tabs>
          <w:tab w:val="left" w:pos="1437"/>
        </w:tabs>
        <w:spacing w:before="19"/>
        <w:ind w:left="557"/>
      </w:pPr>
      <w:r>
        <w:rPr>
          <w:rFonts w:hint="eastAsia" w:ascii="方正黑体_GBK" w:eastAsia="方正黑体_GBK"/>
          <w:color w:val="231F20"/>
        </w:rPr>
        <w:t>第五条</w:t>
      </w:r>
      <w:r>
        <w:rPr>
          <w:rFonts w:hint="eastAsia" w:ascii="方正黑体_GBK" w:eastAsia="方正黑体_GBK"/>
          <w:color w:val="231F20"/>
        </w:rPr>
        <w:tab/>
      </w:r>
      <w:r>
        <w:rPr>
          <w:color w:val="231F20"/>
        </w:rPr>
        <w:t>乙方的权利和义务</w:t>
      </w:r>
    </w:p>
    <w:p w14:paraId="0E7691A5">
      <w:pPr>
        <w:pStyle w:val="3"/>
        <w:spacing w:before="109"/>
        <w:ind w:left="447"/>
      </w:pPr>
      <w:r>
        <w:rPr>
          <w:color w:val="231F20"/>
        </w:rPr>
        <w:t>（一）依法享有受让林地使用、收益的权利，有权自主组织生产经营和处置产品。</w:t>
      </w:r>
    </w:p>
    <w:p w14:paraId="1C69E799">
      <w:pPr>
        <w:pStyle w:val="3"/>
        <w:spacing w:before="109" w:line="319" w:lineRule="auto"/>
        <w:ind w:left="117" w:right="214" w:firstLine="330"/>
      </w:pPr>
      <w:r>
        <w:rPr>
          <w:color w:val="231F20"/>
        </w:rPr>
        <w:t>（二）按合同约定及时支付流转价款。如该流转林地被依法征占用的，有权依法按规定或约定获得相应的补偿。</w:t>
      </w:r>
    </w:p>
    <w:p w14:paraId="626D1051">
      <w:pPr>
        <w:pStyle w:val="3"/>
        <w:spacing w:before="25"/>
        <w:ind w:left="447"/>
      </w:pPr>
      <w:r>
        <w:rPr>
          <w:color w:val="231F20"/>
        </w:rPr>
        <w:t>（三）有权要求甲方协助办理不动产登记相关手续。</w:t>
      </w:r>
    </w:p>
    <w:p w14:paraId="75427C03">
      <w:pPr>
        <w:pStyle w:val="3"/>
        <w:spacing w:before="109" w:line="319" w:lineRule="auto"/>
        <w:ind w:left="117" w:firstLine="330"/>
      </w:pPr>
      <w:r>
        <w:rPr>
          <w:color w:val="231F20"/>
        </w:rPr>
        <w:t>（四）</w:t>
      </w:r>
      <w:r>
        <w:rPr>
          <w:color w:val="FF0000"/>
        </w:rPr>
        <w:t>应当做好造林培育，其采伐迹地应在</w:t>
      </w:r>
      <w:r>
        <w:rPr>
          <w:rFonts w:hint="eastAsia"/>
          <w:color w:val="FF0000"/>
        </w:rPr>
        <w:t>2026年3月26日前</w:t>
      </w:r>
      <w:r>
        <w:rPr>
          <w:color w:val="FF0000"/>
        </w:rPr>
        <w:t>完成造林更新</w:t>
      </w:r>
      <w:r>
        <w:rPr>
          <w:color w:val="231F20"/>
        </w:rPr>
        <w:t>，不得闲置丢荒， 并保护好生态环境和水资源。</w:t>
      </w:r>
    </w:p>
    <w:p w14:paraId="23104194">
      <w:pPr>
        <w:pStyle w:val="3"/>
        <w:spacing w:before="26"/>
        <w:ind w:left="447"/>
      </w:pPr>
      <w:r>
        <w:rPr>
          <w:color w:val="231F20"/>
        </w:rPr>
        <w:t>（五）依法承担护林防火、林业有害生物防治责任，保护野生动植物资源工作。</w:t>
      </w:r>
    </w:p>
    <w:p w14:paraId="4B52DC91">
      <w:pPr>
        <w:pStyle w:val="3"/>
        <w:spacing w:before="109" w:line="319" w:lineRule="auto"/>
        <w:ind w:left="117" w:firstLine="330"/>
      </w:pPr>
      <w:r>
        <w:rPr>
          <w:color w:val="231F20"/>
        </w:rPr>
        <w:t>（六）应当严格按照国家和本地林业管理规定开发利用，不得擅自改变林地用途和公益林、天然林性质，不得破坏林业综合生产能力。</w:t>
      </w:r>
    </w:p>
    <w:p w14:paraId="3CD7FBD9">
      <w:pPr>
        <w:pStyle w:val="3"/>
        <w:tabs>
          <w:tab w:val="left" w:pos="1437"/>
        </w:tabs>
        <w:spacing w:before="19"/>
        <w:ind w:left="557"/>
      </w:pPr>
      <w:r>
        <w:rPr>
          <w:rFonts w:hint="eastAsia" w:ascii="方正黑体_GBK" w:eastAsia="方正黑体_GBK"/>
          <w:color w:val="231F20"/>
        </w:rPr>
        <w:t>第六条</w:t>
      </w:r>
      <w:r>
        <w:rPr>
          <w:rFonts w:hint="eastAsia" w:ascii="方正黑体_GBK" w:eastAsia="方正黑体_GBK"/>
          <w:color w:val="231F20"/>
        </w:rPr>
        <w:tab/>
      </w:r>
      <w:r>
        <w:rPr>
          <w:color w:val="231F20"/>
        </w:rPr>
        <w:t>其他约定</w:t>
      </w:r>
    </w:p>
    <w:p w14:paraId="1F1DBAC0">
      <w:pPr>
        <w:pStyle w:val="3"/>
        <w:spacing w:before="108"/>
        <w:ind w:left="447"/>
        <w:rPr>
          <w:color w:val="FF0000"/>
        </w:rPr>
      </w:pPr>
      <w:r>
        <w:rPr>
          <w:color w:val="FF0000"/>
        </w:rPr>
        <w:t>（一）出让方</w:t>
      </w:r>
      <w:r>
        <w:rPr>
          <w:rFonts w:hint="eastAsia"/>
          <w:color w:val="FF0000"/>
          <w:lang w:eastAsia="zh-CN"/>
        </w:rPr>
        <w:t>☑</w:t>
      </w:r>
      <w:r>
        <w:rPr>
          <w:color w:val="FF0000"/>
        </w:rPr>
        <w:t>同意□不同意受让方依法投资改良土壤，建设林业生产附属、配套设施。</w:t>
      </w:r>
    </w:p>
    <w:p w14:paraId="0B8C5A1A">
      <w:pPr>
        <w:pStyle w:val="3"/>
        <w:spacing w:before="108"/>
        <w:ind w:left="447"/>
        <w:rPr>
          <w:color w:val="FF0000"/>
        </w:rPr>
      </w:pPr>
      <w:r>
        <w:rPr>
          <w:color w:val="FF0000"/>
        </w:rPr>
        <w:t>（二）出让方</w:t>
      </w:r>
      <w:r>
        <w:rPr>
          <w:rFonts w:hint="eastAsia"/>
          <w:color w:val="FF0000"/>
          <w:lang w:eastAsia="zh-CN"/>
        </w:rPr>
        <w:t>☑</w:t>
      </w:r>
      <w:r>
        <w:rPr>
          <w:color w:val="FF0000"/>
        </w:rPr>
        <w:t>同意□不同意受让方再次流转林权。</w:t>
      </w:r>
    </w:p>
    <w:p w14:paraId="03565A2E">
      <w:pPr>
        <w:pStyle w:val="3"/>
        <w:spacing w:before="108"/>
        <w:ind w:left="447"/>
        <w:rPr>
          <w:color w:val="FF0000"/>
        </w:rPr>
      </w:pPr>
      <w:r>
        <w:rPr>
          <w:color w:val="FF0000"/>
        </w:rPr>
        <w:t>（三）出让方</w:t>
      </w:r>
      <w:r>
        <w:rPr>
          <w:rFonts w:hint="eastAsia"/>
          <w:color w:val="FF0000"/>
          <w:lang w:eastAsia="zh-CN"/>
        </w:rPr>
        <w:t>☑</w:t>
      </w:r>
      <w:r>
        <w:rPr>
          <w:color w:val="FF0000"/>
        </w:rPr>
        <w:t>同意□不同意受让方将受让的林权向金融机构进行融资担保。</w:t>
      </w:r>
    </w:p>
    <w:p w14:paraId="538E1596">
      <w:pPr>
        <w:spacing w:after="0"/>
        <w:sectPr>
          <w:pgSz w:w="11910" w:h="16840"/>
          <w:pgMar w:top="1580" w:right="1200" w:bottom="1020" w:left="1300" w:header="0" w:footer="832" w:gutter="0"/>
          <w:cols w:space="720" w:num="1"/>
        </w:sectPr>
      </w:pPr>
    </w:p>
    <w:p w14:paraId="01FD7CF0">
      <w:pPr>
        <w:pStyle w:val="3"/>
        <w:spacing w:before="24" w:line="319" w:lineRule="auto"/>
        <w:ind w:left="117" w:right="211" w:firstLine="330"/>
        <w:jc w:val="both"/>
      </w:pPr>
      <w:r>
        <w:rPr>
          <w:color w:val="231F20"/>
        </w:rPr>
        <w:t>（四）本合同期限内，因被依法征收、征用、占用时，流转的林地、林木及地上附着物有关补偿费的归属约定：</w:t>
      </w:r>
    </w:p>
    <w:p w14:paraId="0548475F">
      <w:pPr>
        <w:pStyle w:val="3"/>
        <w:tabs>
          <w:tab w:val="left" w:pos="9078"/>
        </w:tabs>
        <w:spacing w:before="26"/>
        <w:ind w:left="55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rPr>
        <w:t>。</w:t>
      </w:r>
    </w:p>
    <w:p w14:paraId="4E47FF20">
      <w:pPr>
        <w:pStyle w:val="3"/>
        <w:spacing w:before="109"/>
        <w:ind w:left="447"/>
      </w:pPr>
      <w:r>
        <w:rPr>
          <w:color w:val="231F20"/>
        </w:rPr>
        <w:t>（五）其他约定事项（可另附件）：</w:t>
      </w:r>
    </w:p>
    <w:p w14:paraId="2A59184B">
      <w:pPr>
        <w:pStyle w:val="3"/>
        <w:tabs>
          <w:tab w:val="left" w:pos="9078"/>
        </w:tabs>
        <w:spacing w:before="109"/>
        <w:ind w:left="557"/>
      </w:pPr>
      <w:r>
        <w:rPr>
          <w:rFonts w:ascii="Times New Roman" w:eastAsia="Times New Roman"/>
          <w:color w:val="231F20"/>
          <w:u w:val="single" w:color="231F20"/>
        </w:rPr>
        <w:t xml:space="preserve"> </w:t>
      </w:r>
      <w:r>
        <w:rPr>
          <w:rFonts w:ascii="Times New Roman" w:eastAsia="Times New Roman"/>
          <w:color w:val="231F20"/>
          <w:u w:val="single" w:color="231F20"/>
        </w:rPr>
        <w:tab/>
      </w:r>
      <w:r>
        <w:rPr>
          <w:color w:val="231F20"/>
        </w:rPr>
        <w:t>。</w:t>
      </w:r>
    </w:p>
    <w:p w14:paraId="05D9ACFF">
      <w:pPr>
        <w:pStyle w:val="3"/>
        <w:tabs>
          <w:tab w:val="left" w:pos="1437"/>
        </w:tabs>
        <w:spacing w:before="103"/>
        <w:ind w:left="557"/>
      </w:pPr>
      <w:r>
        <w:rPr>
          <w:rFonts w:hint="eastAsia" w:ascii="方正黑体_GBK" w:eastAsia="方正黑体_GBK"/>
          <w:color w:val="231F20"/>
        </w:rPr>
        <w:t>第七条</w:t>
      </w:r>
      <w:r>
        <w:rPr>
          <w:rFonts w:hint="eastAsia" w:ascii="方正黑体_GBK" w:eastAsia="方正黑体_GBK"/>
          <w:color w:val="231F20"/>
        </w:rPr>
        <w:tab/>
      </w:r>
      <w:r>
        <w:rPr>
          <w:color w:val="231F20"/>
        </w:rPr>
        <w:t>合同的变更、解除和终止</w:t>
      </w:r>
    </w:p>
    <w:p w14:paraId="6DED6FDE">
      <w:pPr>
        <w:pStyle w:val="3"/>
        <w:spacing w:before="109" w:line="319" w:lineRule="auto"/>
        <w:ind w:left="117" w:right="209" w:firstLine="330"/>
        <w:jc w:val="both"/>
      </w:pPr>
      <w:r>
        <w:rPr>
          <w:color w:val="231F20"/>
        </w:rPr>
        <w:t>（一）合同有效期间，因不可抗力因素致使合同全部不能履行时，本合同自动终止，甲方将合同终止日至流转到期日的期限内已收取的林权流转款退还给乙方；致使合同部分不能履行的，其他部分继续履行，流转价款作相应调整。</w:t>
      </w:r>
    </w:p>
    <w:p w14:paraId="2D0A14A9">
      <w:pPr>
        <w:pStyle w:val="3"/>
        <w:spacing w:before="26" w:line="319" w:lineRule="auto"/>
        <w:ind w:left="117" w:right="213" w:firstLine="330"/>
        <w:jc w:val="both"/>
      </w:pPr>
      <w:r>
        <w:rPr>
          <w:color w:val="231F20"/>
        </w:rPr>
        <w:t>（二）合同期满后，如乙方继续经营该流转林地，必须在合同期满前 90 日内书面向甲方提出申请。如乙方不再继续流转经营，在合同期满后日内将原流转的林地交还给甲方。</w:t>
      </w:r>
    </w:p>
    <w:p w14:paraId="3B9D979F">
      <w:pPr>
        <w:pStyle w:val="3"/>
        <w:spacing w:before="26"/>
        <w:ind w:left="447"/>
      </w:pPr>
      <w:r>
        <w:rPr>
          <w:color w:val="231F20"/>
        </w:rPr>
        <w:t>（三）合同期满后，该流转林地范围内留置林木的处置方式：</w:t>
      </w:r>
    </w:p>
    <w:p w14:paraId="1A38F3FD">
      <w:pPr>
        <w:pStyle w:val="3"/>
        <w:tabs>
          <w:tab w:val="left" w:pos="5617"/>
          <w:tab w:val="left" w:pos="8917"/>
        </w:tabs>
        <w:spacing w:before="109"/>
        <w:ind w:left="557"/>
      </w:pPr>
      <w:r>
        <w:rPr>
          <w:color w:val="231F20"/>
        </w:rPr>
        <w:t>□与有权收回该流转林权的权利人协商展期</w:t>
      </w:r>
      <w:r>
        <w:rPr>
          <w:color w:val="231F20"/>
          <w:u w:val="single" w:color="231F20"/>
        </w:rPr>
        <w:t xml:space="preserve"> </w:t>
      </w:r>
      <w:r>
        <w:rPr>
          <w:color w:val="231F20"/>
          <w:u w:val="single" w:color="231F20"/>
        </w:rPr>
        <w:tab/>
      </w:r>
      <w:r>
        <w:rPr>
          <w:color w:val="231F20"/>
        </w:rPr>
        <w:t>年，支付价款或实物</w:t>
      </w:r>
      <w:r>
        <w:rPr>
          <w:color w:val="231F20"/>
          <w:u w:val="single" w:color="231F20"/>
        </w:rPr>
        <w:t xml:space="preserve"> </w:t>
      </w:r>
      <w:r>
        <w:rPr>
          <w:color w:val="231F20"/>
          <w:u w:val="single" w:color="231F20"/>
        </w:rPr>
        <w:tab/>
      </w:r>
      <w:r>
        <w:rPr>
          <w:color w:val="231F20"/>
        </w:rPr>
        <w:t>。</w:t>
      </w:r>
    </w:p>
    <w:p w14:paraId="4945F68D">
      <w:pPr>
        <w:pStyle w:val="3"/>
        <w:spacing w:before="109"/>
        <w:ind w:left="557"/>
      </w:pPr>
      <w:r>
        <w:rPr>
          <w:color w:val="231F20"/>
        </w:rPr>
        <w:t>□经有森林资源资产评估资质的第三方评估后，由有权收回流转林权的主体收买。</w:t>
      </w:r>
    </w:p>
    <w:p w14:paraId="310342E6">
      <w:pPr>
        <w:pStyle w:val="3"/>
        <w:spacing w:before="109"/>
        <w:ind w:left="557"/>
      </w:pPr>
      <w:r>
        <w:rPr>
          <w:color w:val="231F20"/>
        </w:rPr>
        <w:t>□由有权收回流转林权的主体无偿收回。</w:t>
      </w:r>
    </w:p>
    <w:p w14:paraId="31079252">
      <w:pPr>
        <w:pStyle w:val="3"/>
        <w:tabs>
          <w:tab w:val="left" w:pos="9078"/>
        </w:tabs>
        <w:spacing w:before="109"/>
        <w:ind w:left="557"/>
      </w:pPr>
      <w:r>
        <w:rPr>
          <w:color w:val="231F20"/>
        </w:rPr>
        <w:t>□其他</w:t>
      </w:r>
      <w:r>
        <w:rPr>
          <w:color w:val="231F20"/>
          <w:u w:val="single" w:color="231F20"/>
        </w:rPr>
        <w:t xml:space="preserve"> </w:t>
      </w:r>
      <w:r>
        <w:rPr>
          <w:color w:val="231F20"/>
          <w:u w:val="single" w:color="231F20"/>
        </w:rPr>
        <w:tab/>
      </w:r>
      <w:r>
        <w:rPr>
          <w:color w:val="231F20"/>
        </w:rPr>
        <w:t>。</w:t>
      </w:r>
    </w:p>
    <w:p w14:paraId="2DE8A176">
      <w:pPr>
        <w:pStyle w:val="3"/>
        <w:spacing w:before="109"/>
        <w:ind w:left="447"/>
      </w:pPr>
      <w:r>
        <w:rPr>
          <w:color w:val="231F20"/>
        </w:rPr>
        <w:t>（四）合同期满后，流转期间受让方投资建设的附属设施处置方式：</w:t>
      </w:r>
    </w:p>
    <w:p w14:paraId="7668AFFF">
      <w:pPr>
        <w:pStyle w:val="3"/>
        <w:spacing w:before="109"/>
        <w:ind w:left="557"/>
      </w:pPr>
      <w:r>
        <w:rPr>
          <w:color w:val="231F20"/>
        </w:rPr>
        <w:t>□由有权收回流转林权的主体无偿处置。</w:t>
      </w:r>
    </w:p>
    <w:p w14:paraId="54FC1827">
      <w:pPr>
        <w:pStyle w:val="3"/>
        <w:spacing w:before="109"/>
        <w:ind w:left="557"/>
      </w:pPr>
      <w:r>
        <w:rPr>
          <w:color w:val="231F20"/>
        </w:rPr>
        <w:t>□经有资质的第三方评估，由有权收回流转林权支付价款购买。</w:t>
      </w:r>
    </w:p>
    <w:p w14:paraId="02961775">
      <w:pPr>
        <w:pStyle w:val="3"/>
        <w:tabs>
          <w:tab w:val="left" w:pos="9078"/>
        </w:tabs>
        <w:spacing w:before="109" w:line="319" w:lineRule="auto"/>
        <w:ind w:left="557" w:right="105"/>
      </w:pPr>
      <w:r>
        <w:rPr>
          <w:color w:val="231F20"/>
        </w:rPr>
        <w:t>□其他</w:t>
      </w:r>
      <w:r>
        <w:rPr>
          <w:color w:val="231F20"/>
          <w:u w:val="single" w:color="231F20"/>
        </w:rPr>
        <w:t xml:space="preserve"> </w:t>
      </w:r>
      <w:r>
        <w:rPr>
          <w:color w:val="231F20"/>
          <w:u w:val="single" w:color="231F20"/>
        </w:rPr>
        <w:tab/>
      </w:r>
      <w:r>
        <w:rPr>
          <w:color w:val="231F20"/>
        </w:rPr>
        <w:t>。因合同的变更、解除或终止情形发生涉及产权变动的，当事人应当及时办理不动产登记相</w:t>
      </w:r>
    </w:p>
    <w:p w14:paraId="4F49544C">
      <w:pPr>
        <w:pStyle w:val="3"/>
        <w:spacing w:before="26"/>
        <w:ind w:left="117"/>
      </w:pPr>
      <w:r>
        <w:rPr>
          <w:color w:val="231F20"/>
        </w:rPr>
        <w:t>关手续。</w:t>
      </w:r>
    </w:p>
    <w:p w14:paraId="3A51834F">
      <w:pPr>
        <w:pStyle w:val="3"/>
        <w:tabs>
          <w:tab w:val="left" w:pos="1437"/>
        </w:tabs>
        <w:spacing w:before="103"/>
        <w:ind w:left="557"/>
      </w:pPr>
      <w:r>
        <w:rPr>
          <w:rFonts w:hint="eastAsia" w:ascii="方正黑体_GBK" w:eastAsia="方正黑体_GBK"/>
          <w:color w:val="231F20"/>
        </w:rPr>
        <w:t>第八条</w:t>
      </w:r>
      <w:r>
        <w:rPr>
          <w:rFonts w:hint="eastAsia" w:ascii="方正黑体_GBK" w:eastAsia="方正黑体_GBK"/>
          <w:color w:val="231F20"/>
        </w:rPr>
        <w:tab/>
      </w:r>
      <w:r>
        <w:rPr>
          <w:color w:val="231F20"/>
        </w:rPr>
        <w:t>违约责任</w:t>
      </w:r>
    </w:p>
    <w:p w14:paraId="010F40CF">
      <w:pPr>
        <w:pStyle w:val="3"/>
        <w:spacing w:before="109"/>
        <w:ind w:left="447"/>
      </w:pPr>
      <w:r>
        <w:rPr>
          <w:color w:val="231F20"/>
        </w:rPr>
        <w:t>（一）任何一方违约给对方造成损失的，违约方应承担赔偿责任。</w:t>
      </w:r>
    </w:p>
    <w:p w14:paraId="6CCA204D">
      <w:pPr>
        <w:pStyle w:val="3"/>
        <w:tabs>
          <w:tab w:val="left" w:pos="997"/>
          <w:tab w:val="left" w:pos="4297"/>
        </w:tabs>
        <w:spacing w:before="109" w:line="319" w:lineRule="auto"/>
        <w:ind w:left="117" w:right="208" w:firstLine="330"/>
        <w:jc w:val="both"/>
      </w:pPr>
      <w:r>
        <w:rPr>
          <w:color w:val="231F20"/>
          <w:spacing w:val="2"/>
        </w:rPr>
        <w:t>（二）甲方应按合同规定按时向乙方交付林</w:t>
      </w:r>
      <w:r>
        <w:rPr>
          <w:color w:val="231F20"/>
        </w:rPr>
        <w:t>地</w:t>
      </w:r>
      <w:r>
        <w:rPr>
          <w:color w:val="231F20"/>
          <w:spacing w:val="2"/>
        </w:rPr>
        <w:t>，逾期一日应向乙方支付应缴纳的流转价款</w:t>
      </w:r>
      <w:r>
        <w:rPr>
          <w:color w:val="231F20"/>
        </w:rPr>
        <w:t>的</w:t>
      </w:r>
      <w:r>
        <w:rPr>
          <w:color w:val="231F20"/>
          <w:u w:val="single" w:color="231F20"/>
        </w:rPr>
        <w:t xml:space="preserve"> </w:t>
      </w:r>
      <w:r>
        <w:rPr>
          <w:rFonts w:hint="eastAsia"/>
          <w:color w:val="231F20"/>
          <w:u w:val="single" w:color="231F20"/>
          <w:lang w:val="en-US" w:eastAsia="zh-CN"/>
        </w:rPr>
        <w:t>10</w:t>
      </w:r>
      <w:r>
        <w:rPr>
          <w:color w:val="231F20"/>
          <w:u w:val="single" w:color="231F20"/>
        </w:rPr>
        <w:tab/>
      </w:r>
      <w:r>
        <w:rPr>
          <w:color w:val="231F20"/>
        </w:rPr>
        <w:t>‰作为违约金。逾期超过</w:t>
      </w:r>
      <w:r>
        <w:rPr>
          <w:color w:val="231F20"/>
          <w:u w:val="single" w:color="231F20"/>
        </w:rPr>
        <w:t xml:space="preserve"> </w:t>
      </w:r>
      <w:r>
        <w:rPr>
          <w:rFonts w:hint="eastAsia"/>
          <w:color w:val="231F20"/>
          <w:u w:val="single" w:color="231F20"/>
          <w:lang w:val="en-US" w:eastAsia="zh-CN"/>
        </w:rPr>
        <w:t>15</w:t>
      </w:r>
      <w:r>
        <w:rPr>
          <w:color w:val="231F20"/>
          <w:u w:val="single" w:color="231F20"/>
        </w:rPr>
        <w:tab/>
      </w:r>
      <w:r>
        <w:rPr>
          <w:color w:val="231F20"/>
        </w:rPr>
        <w:t>日，乙方有权解除合同，甲方承担违约责任。</w:t>
      </w:r>
    </w:p>
    <w:p w14:paraId="1449FDCC">
      <w:pPr>
        <w:pStyle w:val="3"/>
        <w:spacing w:before="25" w:line="319" w:lineRule="auto"/>
        <w:ind w:left="117" w:right="213" w:firstLine="330"/>
        <w:jc w:val="both"/>
      </w:pPr>
      <w:r>
        <w:rPr>
          <w:color w:val="231F20"/>
        </w:rPr>
        <w:t>（三）甲方流转的林地手续不合法，或林地林木权属不清产生纠纷，致使合同全部或部分不能履行，甲方应承担违约责任。甲方违反合同约定擅自干涉和破坏乙方的生产经营 , 致使乙方无法进行正常的生产经营活动的，乙方有权解除合同，甲方应承担违约责任。</w:t>
      </w:r>
    </w:p>
    <w:p w14:paraId="40BA4D3A">
      <w:pPr>
        <w:pStyle w:val="3"/>
        <w:tabs>
          <w:tab w:val="left" w:pos="4098"/>
          <w:tab w:val="left" w:pos="7194"/>
        </w:tabs>
        <w:spacing w:before="25" w:line="319" w:lineRule="auto"/>
        <w:ind w:left="117" w:right="208" w:firstLine="330"/>
        <w:jc w:val="both"/>
      </w:pPr>
      <w:r>
        <w:rPr>
          <w:color w:val="231F20"/>
          <w:spacing w:val="2"/>
        </w:rPr>
        <w:t>（四）乙方应按照合同规定按时足额向甲方支付林地林木流转价</w:t>
      </w:r>
      <w:r>
        <w:rPr>
          <w:color w:val="231F20"/>
        </w:rPr>
        <w:t>款</w:t>
      </w:r>
      <w:r>
        <w:rPr>
          <w:color w:val="231F20"/>
          <w:spacing w:val="2"/>
        </w:rPr>
        <w:t>，逾期一日乙方应向甲</w:t>
      </w:r>
      <w:r>
        <w:rPr>
          <w:color w:val="231F20"/>
        </w:rPr>
        <w:t>方支付本期（年）应付流转价款的</w:t>
      </w:r>
      <w:r>
        <w:rPr>
          <w:color w:val="231F20"/>
          <w:u w:val="single" w:color="231F20"/>
        </w:rPr>
        <w:t xml:space="preserve"> </w:t>
      </w:r>
      <w:r>
        <w:rPr>
          <w:rFonts w:hint="eastAsia"/>
          <w:color w:val="231F20"/>
          <w:u w:val="single" w:color="231F20"/>
          <w:lang w:val="en-US" w:eastAsia="zh-CN"/>
        </w:rPr>
        <w:t xml:space="preserve">10 </w:t>
      </w:r>
      <w:r>
        <w:rPr>
          <w:color w:val="231F20"/>
        </w:rPr>
        <w:t>‰作为违约金。逾期超过</w:t>
      </w:r>
      <w:r>
        <w:rPr>
          <w:color w:val="231F20"/>
          <w:u w:val="single" w:color="231F20"/>
        </w:rPr>
        <w:t xml:space="preserve"> </w:t>
      </w:r>
      <w:r>
        <w:rPr>
          <w:rFonts w:hint="eastAsia"/>
          <w:color w:val="231F20"/>
          <w:u w:val="single" w:color="231F20"/>
          <w:lang w:val="en-US" w:eastAsia="zh-CN"/>
        </w:rPr>
        <w:t>15</w:t>
      </w:r>
      <w:r>
        <w:rPr>
          <w:color w:val="231F20"/>
          <w:u w:val="single" w:color="231F20"/>
        </w:rPr>
        <w:tab/>
      </w:r>
      <w:r>
        <w:rPr>
          <w:color w:val="231F20"/>
        </w:rPr>
        <w:t>日，甲方有权解除合</w:t>
      </w:r>
    </w:p>
    <w:p w14:paraId="797FAFC1">
      <w:pPr>
        <w:spacing w:after="0" w:line="319" w:lineRule="auto"/>
        <w:jc w:val="both"/>
        <w:sectPr>
          <w:pgSz w:w="11910" w:h="16840"/>
          <w:pgMar w:top="1580" w:right="1200" w:bottom="1020" w:left="1300" w:header="0" w:footer="832" w:gutter="0"/>
          <w:cols w:space="720" w:num="1"/>
        </w:sectPr>
      </w:pPr>
    </w:p>
    <w:p w14:paraId="0BF7E4B8">
      <w:pPr>
        <w:pStyle w:val="3"/>
        <w:spacing w:before="24"/>
        <w:ind w:left="117"/>
      </w:pPr>
      <w:r>
        <w:rPr>
          <w:color w:val="231F20"/>
        </w:rPr>
        <w:t>同，乙方应承担违约责任。</w:t>
      </w:r>
    </w:p>
    <w:p w14:paraId="22A4882D">
      <w:pPr>
        <w:pStyle w:val="3"/>
        <w:tabs>
          <w:tab w:val="left" w:pos="4623"/>
        </w:tabs>
        <w:spacing w:before="109" w:line="319" w:lineRule="auto"/>
        <w:ind w:left="117" w:right="215" w:firstLine="330"/>
        <w:jc w:val="both"/>
      </w:pPr>
      <w:r>
        <w:rPr>
          <w:color w:val="231F20"/>
        </w:rPr>
        <w:t>（五</w:t>
      </w:r>
      <w:r>
        <w:rPr>
          <w:color w:val="231F20"/>
          <w:spacing w:val="-4"/>
        </w:rPr>
        <w:t>）</w:t>
      </w:r>
      <w:r>
        <w:rPr>
          <w:color w:val="231F20"/>
        </w:rPr>
        <w:t>自宜林地造林绿化约定期满</w:t>
      </w:r>
      <w:r>
        <w:rPr>
          <w:color w:val="231F20"/>
          <w:u w:val="single" w:color="231F20"/>
        </w:rPr>
        <w:t xml:space="preserve"> </w:t>
      </w:r>
      <w:r>
        <w:rPr>
          <w:rFonts w:hint="eastAsia"/>
          <w:color w:val="231F20"/>
          <w:u w:val="single" w:color="231F20"/>
          <w:lang w:val="en-US" w:eastAsia="zh-CN"/>
        </w:rPr>
        <w:t>15</w:t>
      </w:r>
      <w:r>
        <w:rPr>
          <w:color w:val="231F20"/>
          <w:u w:val="single" w:color="231F20"/>
        </w:rPr>
        <w:tab/>
      </w:r>
      <w:r>
        <w:rPr>
          <w:color w:val="231F20"/>
        </w:rPr>
        <w:t>日后，乙方不履行造林绿化约定的</w:t>
      </w:r>
      <w:r>
        <w:rPr>
          <w:color w:val="231F20"/>
          <w:spacing w:val="-56"/>
        </w:rPr>
        <w:t>，</w:t>
      </w:r>
      <w:r>
        <w:rPr>
          <w:color w:val="231F20"/>
        </w:rPr>
        <w:t>甲方有权无偿收回未造林绿化的林地。</w:t>
      </w:r>
    </w:p>
    <w:p w14:paraId="71EE0F15">
      <w:pPr>
        <w:pStyle w:val="3"/>
        <w:spacing w:before="25" w:line="319" w:lineRule="auto"/>
        <w:ind w:left="117" w:right="208" w:firstLine="330"/>
        <w:jc w:val="both"/>
      </w:pPr>
      <w:r>
        <w:rPr>
          <w:color w:val="231F20"/>
        </w:rPr>
        <w:t>（六）乙方给流转林地造成永久性损害，或者擅自改变林地用途或者造成森林资源严重破坏，经县级以上林业主管部门确认后，甲方有权要求乙方赔偿违约损失、有权解除合同，收回该林地经营使用权。</w:t>
      </w:r>
    </w:p>
    <w:p w14:paraId="1D27A2FE">
      <w:pPr>
        <w:pStyle w:val="3"/>
        <w:tabs>
          <w:tab w:val="left" w:pos="1437"/>
        </w:tabs>
        <w:spacing w:before="19"/>
        <w:ind w:left="557"/>
      </w:pPr>
      <w:r>
        <w:rPr>
          <w:rFonts w:hint="eastAsia" w:ascii="方正黑体_GBK" w:eastAsia="方正黑体_GBK"/>
          <w:color w:val="231F20"/>
        </w:rPr>
        <w:t>第九条</w:t>
      </w:r>
      <w:r>
        <w:rPr>
          <w:rFonts w:hint="eastAsia" w:ascii="方正黑体_GBK" w:eastAsia="方正黑体_GBK"/>
          <w:color w:val="231F20"/>
        </w:rPr>
        <w:tab/>
      </w:r>
      <w:r>
        <w:rPr>
          <w:color w:val="231F20"/>
        </w:rPr>
        <w:t>合同争议的解决方式</w:t>
      </w:r>
    </w:p>
    <w:p w14:paraId="38E9B2CF">
      <w:pPr>
        <w:pStyle w:val="3"/>
        <w:spacing w:before="109" w:line="319" w:lineRule="auto"/>
        <w:ind w:left="117" w:right="105" w:firstLine="440"/>
      </w:pPr>
      <w:r>
        <w:rPr>
          <w:color w:val="231F20"/>
        </w:rPr>
        <w:t>本合同的订立、效力、履行、变更及终止等发生争议时，双方当事人可以通过协商解决， 也可以请求村民委员会、乡（镇）人民政府等调解解决。当事人不愿协商、调解或者协商、调解不成的，约定采用如下方式解决：</w:t>
      </w:r>
    </w:p>
    <w:p w14:paraId="5C95B68A">
      <w:pPr>
        <w:pStyle w:val="3"/>
        <w:spacing w:before="25"/>
        <w:ind w:left="557"/>
      </w:pPr>
      <w:r>
        <w:rPr>
          <w:color w:val="231F20"/>
        </w:rPr>
        <w:t>□提请当地农村土地仲裁机构仲裁。□向有权管辖的人民法院提起诉讼。</w:t>
      </w:r>
    </w:p>
    <w:p w14:paraId="24E3C0C3">
      <w:pPr>
        <w:pStyle w:val="3"/>
        <w:tabs>
          <w:tab w:val="left" w:pos="1437"/>
        </w:tabs>
        <w:spacing w:before="102"/>
        <w:ind w:left="557"/>
      </w:pPr>
      <w:r>
        <w:rPr>
          <w:rFonts w:hint="eastAsia" w:ascii="方正黑体_GBK" w:eastAsia="方正黑体_GBK"/>
          <w:color w:val="231F20"/>
        </w:rPr>
        <w:t>第十条</w:t>
      </w:r>
      <w:r>
        <w:rPr>
          <w:rFonts w:hint="eastAsia" w:ascii="方正黑体_GBK" w:eastAsia="方正黑体_GBK"/>
          <w:color w:val="231F20"/>
        </w:rPr>
        <w:tab/>
      </w:r>
      <w:r>
        <w:rPr>
          <w:color w:val="231F20"/>
        </w:rPr>
        <w:t>附则</w:t>
      </w:r>
    </w:p>
    <w:p w14:paraId="448ABFCD">
      <w:pPr>
        <w:pStyle w:val="3"/>
        <w:spacing w:before="109" w:line="319" w:lineRule="auto"/>
        <w:ind w:left="117" w:right="209" w:firstLine="330"/>
        <w:jc w:val="both"/>
      </w:pPr>
      <w:r>
        <w:rPr>
          <w:color w:val="231F20"/>
        </w:rPr>
        <w:t>（一）本合同未尽事宜，经出让方、受让方协商一致后可签订补充协议。补充协议与本合同具有同等法律效力。</w:t>
      </w:r>
    </w:p>
    <w:p w14:paraId="62E422F2">
      <w:pPr>
        <w:pStyle w:val="3"/>
        <w:tabs>
          <w:tab w:val="left" w:pos="9078"/>
        </w:tabs>
        <w:spacing w:before="26"/>
        <w:ind w:left="557"/>
      </w:pPr>
      <w:r>
        <w:rPr>
          <w:color w:val="231F20"/>
        </w:rPr>
        <w:t>补充条款（可另附件</w:t>
      </w:r>
      <w:r>
        <w:rPr>
          <w:color w:val="231F20"/>
          <w:spacing w:val="-28"/>
        </w:rPr>
        <w:t>）：</w:t>
      </w:r>
      <w:r>
        <w:rPr>
          <w:color w:val="231F20"/>
          <w:spacing w:val="-28"/>
        </w:rPr>
        <w:tab/>
      </w:r>
      <w:r>
        <w:rPr>
          <w:color w:val="231F20"/>
        </w:rPr>
        <w:t>。</w:t>
      </w:r>
    </w:p>
    <w:p w14:paraId="08F94678">
      <w:pPr>
        <w:pStyle w:val="3"/>
        <w:tabs>
          <w:tab w:val="left" w:pos="6387"/>
          <w:tab w:val="left" w:pos="6499"/>
        </w:tabs>
        <w:spacing w:before="109" w:line="319" w:lineRule="auto"/>
        <w:ind w:left="117" w:right="210" w:firstLine="330"/>
        <w:jc w:val="both"/>
      </w:pPr>
      <w:r>
        <w:rPr>
          <w:color w:val="231F20"/>
          <w:spacing w:val="5"/>
        </w:rPr>
        <w:t>（二）本合同自当事人签字盖章起生</w:t>
      </w:r>
      <w:r>
        <w:rPr>
          <w:color w:val="231F20"/>
        </w:rPr>
        <w:t>效</w:t>
      </w:r>
      <w:r>
        <w:rPr>
          <w:color w:val="231F20"/>
          <w:spacing w:val="5"/>
        </w:rPr>
        <w:t>。本合同一</w:t>
      </w:r>
      <w:r>
        <w:rPr>
          <w:color w:val="231F20"/>
        </w:rPr>
        <w:t>式</w:t>
      </w:r>
      <w:r>
        <w:rPr>
          <w:color w:val="231F20"/>
          <w:u w:val="single" w:color="231F20"/>
        </w:rPr>
        <w:t xml:space="preserve"> </w:t>
      </w:r>
      <w:r>
        <w:rPr>
          <w:color w:val="231F20"/>
          <w:u w:val="single" w:color="231F20"/>
        </w:rPr>
        <w:tab/>
      </w:r>
      <w:r>
        <w:rPr>
          <w:color w:val="231F20"/>
          <w:u w:val="single" w:color="231F20"/>
        </w:rPr>
        <w:tab/>
      </w:r>
      <w:r>
        <w:rPr>
          <w:color w:val="231F20"/>
        </w:rPr>
        <w:t>份</w:t>
      </w:r>
      <w:r>
        <w:rPr>
          <w:color w:val="231F20"/>
          <w:spacing w:val="5"/>
        </w:rPr>
        <w:t>，由出让</w:t>
      </w:r>
      <w:r>
        <w:rPr>
          <w:color w:val="231F20"/>
        </w:rPr>
        <w:t>方</w:t>
      </w:r>
      <w:r>
        <w:rPr>
          <w:color w:val="231F20"/>
          <w:spacing w:val="5"/>
        </w:rPr>
        <w:t>、受让</w:t>
      </w:r>
      <w:r>
        <w:rPr>
          <w:color w:val="231F20"/>
        </w:rPr>
        <w:t>方</w:t>
      </w:r>
      <w:r>
        <w:rPr>
          <w:color w:val="231F20"/>
          <w:spacing w:val="5"/>
        </w:rPr>
        <w:t>、林</w:t>
      </w:r>
      <w:r>
        <w:rPr>
          <w:color w:val="231F20"/>
        </w:rPr>
        <w:t>地所有权的集体经济组织、县级林业主管部门</w:t>
      </w:r>
      <w:r>
        <w:rPr>
          <w:color w:val="231F20"/>
          <w:u w:val="single" w:color="231F20"/>
        </w:rPr>
        <w:t>、</w:t>
      </w:r>
      <w:r>
        <w:rPr>
          <w:color w:val="231F20"/>
          <w:u w:val="single" w:color="231F20"/>
        </w:rPr>
        <w:tab/>
      </w:r>
      <w:r>
        <w:rPr>
          <w:color w:val="231F20"/>
        </w:rPr>
        <w:t>、各执一份。</w:t>
      </w:r>
    </w:p>
    <w:p w14:paraId="2D114729">
      <w:pPr>
        <w:pStyle w:val="3"/>
        <w:rPr>
          <w:sz w:val="24"/>
        </w:rPr>
      </w:pPr>
    </w:p>
    <w:p w14:paraId="76EAC9BF">
      <w:pPr>
        <w:pStyle w:val="3"/>
        <w:rPr>
          <w:sz w:val="24"/>
        </w:rPr>
      </w:pPr>
    </w:p>
    <w:p w14:paraId="587C3D88">
      <w:pPr>
        <w:pStyle w:val="3"/>
        <w:tabs>
          <w:tab w:val="left" w:pos="5157"/>
        </w:tabs>
        <w:spacing w:before="184"/>
        <w:ind w:left="557"/>
      </w:pPr>
      <w:r>
        <w:rPr>
          <w:color w:val="231F20"/>
        </w:rPr>
        <w:t>甲方盖章（签字</w:t>
      </w:r>
      <w:r>
        <w:rPr>
          <w:color w:val="231F20"/>
          <w:spacing w:val="-28"/>
        </w:rPr>
        <w:t>）：</w:t>
      </w:r>
      <w:r>
        <w:rPr>
          <w:color w:val="231F20"/>
          <w:spacing w:val="-28"/>
        </w:rPr>
        <w:tab/>
      </w:r>
      <w:r>
        <w:rPr>
          <w:color w:val="231F20"/>
        </w:rPr>
        <w:t>乙方盖章（签字</w:t>
      </w:r>
      <w:r>
        <w:rPr>
          <w:color w:val="231F20"/>
          <w:spacing w:val="-28"/>
        </w:rPr>
        <w:t>）：</w:t>
      </w:r>
    </w:p>
    <w:p w14:paraId="3306141C">
      <w:pPr>
        <w:pStyle w:val="3"/>
        <w:rPr>
          <w:sz w:val="24"/>
        </w:rPr>
      </w:pPr>
    </w:p>
    <w:p w14:paraId="77B01E7E">
      <w:pPr>
        <w:pStyle w:val="3"/>
        <w:tabs>
          <w:tab w:val="left" w:pos="5157"/>
        </w:tabs>
        <w:spacing w:before="188"/>
        <w:ind w:left="557"/>
      </w:pPr>
      <w:r>
        <w:rPr>
          <w:color w:val="231F20"/>
        </w:rPr>
        <w:t>法定代表（委托代理人）签字：</w:t>
      </w:r>
      <w:r>
        <w:rPr>
          <w:color w:val="231F20"/>
        </w:rPr>
        <w:tab/>
      </w:r>
      <w:r>
        <w:rPr>
          <w:color w:val="231F20"/>
        </w:rPr>
        <w:t>法定代表（委托代理人）签字：</w:t>
      </w:r>
    </w:p>
    <w:p w14:paraId="739366AA">
      <w:pPr>
        <w:pStyle w:val="3"/>
        <w:tabs>
          <w:tab w:val="left" w:pos="2482"/>
          <w:tab w:val="left" w:pos="3142"/>
          <w:tab w:val="left" w:pos="3802"/>
          <w:tab w:val="left" w:pos="5157"/>
          <w:tab w:val="left" w:pos="7082"/>
          <w:tab w:val="left" w:pos="7742"/>
          <w:tab w:val="left" w:pos="8402"/>
        </w:tabs>
        <w:spacing w:before="109"/>
        <w:ind w:left="557"/>
      </w:pPr>
      <w:r>
        <w:rPr>
          <w:color w:val="231F20"/>
        </w:rPr>
        <w:t>签约日期</w:t>
      </w:r>
      <w:r>
        <w:rPr>
          <w:color w:val="231F20"/>
          <w:u w:val="single" w:color="231F20"/>
        </w:rPr>
        <w:t>：</w:t>
      </w:r>
      <w:r>
        <w:rPr>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w:t>
      </w:r>
      <w:r>
        <w:rPr>
          <w:color w:val="231F20"/>
        </w:rPr>
        <w:tab/>
      </w:r>
      <w:r>
        <w:rPr>
          <w:color w:val="231F20"/>
        </w:rPr>
        <w:t>签约日期</w:t>
      </w:r>
      <w:r>
        <w:rPr>
          <w:color w:val="231F20"/>
          <w:u w:val="single" w:color="231F20"/>
        </w:rPr>
        <w:t>：</w:t>
      </w:r>
      <w:r>
        <w:rPr>
          <w:color w:val="231F20"/>
          <w:u w:val="single" w:color="231F20"/>
        </w:rPr>
        <w:tab/>
      </w:r>
      <w:r>
        <w:rPr>
          <w:color w:val="231F20"/>
        </w:rPr>
        <w:t>年</w:t>
      </w:r>
      <w:r>
        <w:rPr>
          <w:color w:val="231F20"/>
          <w:u w:val="single" w:color="231F20"/>
        </w:rPr>
        <w:t xml:space="preserve"> </w:t>
      </w:r>
      <w:r>
        <w:rPr>
          <w:color w:val="231F20"/>
          <w:u w:val="single" w:color="231F20"/>
        </w:rPr>
        <w:tab/>
      </w:r>
      <w:r>
        <w:rPr>
          <w:color w:val="231F20"/>
        </w:rPr>
        <w:t>月</w:t>
      </w:r>
      <w:r>
        <w:rPr>
          <w:color w:val="231F20"/>
          <w:u w:val="single" w:color="231F20"/>
        </w:rPr>
        <w:t xml:space="preserve"> </w:t>
      </w:r>
      <w:r>
        <w:rPr>
          <w:color w:val="231F20"/>
          <w:u w:val="single" w:color="231F20"/>
        </w:rPr>
        <w:tab/>
      </w:r>
      <w:r>
        <w:rPr>
          <w:color w:val="231F20"/>
        </w:rPr>
        <w:t>日</w:t>
      </w:r>
    </w:p>
    <w:p w14:paraId="1350ABC5">
      <w:pPr>
        <w:spacing w:after="0"/>
        <w:sectPr>
          <w:pgSz w:w="11910" w:h="16840"/>
          <w:pgMar w:top="1580" w:right="1200" w:bottom="1020" w:left="1300" w:header="0" w:footer="832" w:gutter="0"/>
          <w:cols w:space="720" w:num="1"/>
        </w:sectPr>
      </w:pPr>
    </w:p>
    <w:p w14:paraId="206CCAE3">
      <w:pPr>
        <w:pStyle w:val="3"/>
        <w:spacing w:before="18"/>
        <w:ind w:left="557"/>
        <w:rPr>
          <w:rFonts w:hint="eastAsia" w:ascii="方正黑体_GBK" w:eastAsia="方正黑体_GBK"/>
        </w:rPr>
      </w:pPr>
      <w:r>
        <w:rPr>
          <w:rFonts w:hint="eastAsia" w:ascii="方正黑体_GBK" w:eastAsia="方正黑体_GBK"/>
          <w:color w:val="231F20"/>
        </w:rPr>
        <w:t>附件清单：</w:t>
      </w:r>
    </w:p>
    <w:p w14:paraId="46F0735A">
      <w:pPr>
        <w:pStyle w:val="3"/>
        <w:spacing w:before="4"/>
        <w:rPr>
          <w:rFonts w:ascii="方正黑体_GBK"/>
          <w:sz w:val="14"/>
        </w:rPr>
      </w:pPr>
    </w:p>
    <w:tbl>
      <w:tblPr>
        <w:tblStyle w:val="4"/>
        <w:tblW w:w="0" w:type="auto"/>
        <w:tblInd w:w="122" w:type="dxa"/>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Layout w:type="fixed"/>
        <w:tblCellMar>
          <w:top w:w="0" w:type="dxa"/>
          <w:left w:w="0" w:type="dxa"/>
          <w:bottom w:w="0" w:type="dxa"/>
          <w:right w:w="0" w:type="dxa"/>
        </w:tblCellMar>
      </w:tblPr>
      <w:tblGrid>
        <w:gridCol w:w="870"/>
        <w:gridCol w:w="4956"/>
        <w:gridCol w:w="1498"/>
        <w:gridCol w:w="870"/>
        <w:gridCol w:w="869"/>
      </w:tblGrid>
      <w:tr w14:paraId="00F4EC9A">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870" w:type="dxa"/>
          </w:tcPr>
          <w:p w14:paraId="50D5D7A5">
            <w:pPr>
              <w:pStyle w:val="8"/>
              <w:spacing w:before="44"/>
              <w:ind w:left="234" w:right="226"/>
              <w:jc w:val="center"/>
              <w:rPr>
                <w:sz w:val="18"/>
              </w:rPr>
            </w:pPr>
            <w:r>
              <w:rPr>
                <w:color w:val="231F20"/>
                <w:sz w:val="18"/>
              </w:rPr>
              <w:t>序号</w:t>
            </w:r>
          </w:p>
        </w:tc>
        <w:tc>
          <w:tcPr>
            <w:tcW w:w="4956" w:type="dxa"/>
          </w:tcPr>
          <w:p w14:paraId="5232BF3D">
            <w:pPr>
              <w:pStyle w:val="8"/>
              <w:spacing w:before="44"/>
              <w:ind w:left="1287" w:right="1279"/>
              <w:jc w:val="center"/>
              <w:rPr>
                <w:sz w:val="18"/>
              </w:rPr>
            </w:pPr>
            <w:r>
              <w:rPr>
                <w:color w:val="231F20"/>
                <w:sz w:val="18"/>
              </w:rPr>
              <w:t>附件名称</w:t>
            </w:r>
          </w:p>
        </w:tc>
        <w:tc>
          <w:tcPr>
            <w:tcW w:w="1498" w:type="dxa"/>
          </w:tcPr>
          <w:p w14:paraId="1BA6DAEA">
            <w:pPr>
              <w:pStyle w:val="8"/>
              <w:spacing w:before="44"/>
              <w:ind w:left="387"/>
              <w:rPr>
                <w:sz w:val="18"/>
              </w:rPr>
            </w:pPr>
            <w:r>
              <w:rPr>
                <w:color w:val="231F20"/>
                <w:sz w:val="18"/>
              </w:rPr>
              <w:t>是否具备</w:t>
            </w:r>
          </w:p>
        </w:tc>
        <w:tc>
          <w:tcPr>
            <w:tcW w:w="870" w:type="dxa"/>
          </w:tcPr>
          <w:p w14:paraId="2C96FC98">
            <w:pPr>
              <w:pStyle w:val="8"/>
              <w:spacing w:before="44"/>
              <w:ind w:left="253"/>
              <w:rPr>
                <w:sz w:val="18"/>
              </w:rPr>
            </w:pPr>
            <w:r>
              <w:rPr>
                <w:color w:val="231F20"/>
                <w:sz w:val="18"/>
              </w:rPr>
              <w:t>页数</w:t>
            </w:r>
          </w:p>
        </w:tc>
        <w:tc>
          <w:tcPr>
            <w:tcW w:w="869" w:type="dxa"/>
          </w:tcPr>
          <w:p w14:paraId="5A2D6EB4">
            <w:pPr>
              <w:pStyle w:val="8"/>
              <w:spacing w:before="44"/>
              <w:ind w:left="253"/>
              <w:rPr>
                <w:sz w:val="18"/>
              </w:rPr>
            </w:pPr>
            <w:r>
              <w:rPr>
                <w:color w:val="231F20"/>
                <w:sz w:val="18"/>
              </w:rPr>
              <w:t>备注</w:t>
            </w:r>
          </w:p>
        </w:tc>
      </w:tr>
      <w:tr w14:paraId="7513FDD0">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870" w:type="dxa"/>
          </w:tcPr>
          <w:p w14:paraId="6C8B2459">
            <w:pPr>
              <w:pStyle w:val="8"/>
              <w:spacing w:before="44"/>
              <w:ind w:left="8"/>
              <w:jc w:val="center"/>
              <w:rPr>
                <w:sz w:val="18"/>
              </w:rPr>
            </w:pPr>
            <w:r>
              <w:rPr>
                <w:color w:val="231F20"/>
                <w:sz w:val="18"/>
              </w:rPr>
              <w:t>1</w:t>
            </w:r>
          </w:p>
        </w:tc>
        <w:tc>
          <w:tcPr>
            <w:tcW w:w="4956" w:type="dxa"/>
          </w:tcPr>
          <w:p w14:paraId="2BEE2C47">
            <w:pPr>
              <w:pStyle w:val="8"/>
              <w:spacing w:before="44"/>
              <w:ind w:left="1287" w:right="1279"/>
              <w:jc w:val="center"/>
              <w:rPr>
                <w:sz w:val="18"/>
              </w:rPr>
            </w:pPr>
            <w:r>
              <w:rPr>
                <w:color w:val="231F20"/>
                <w:sz w:val="18"/>
              </w:rPr>
              <w:t>出让方、受让方的证件复印件</w:t>
            </w:r>
          </w:p>
        </w:tc>
        <w:tc>
          <w:tcPr>
            <w:tcW w:w="1498" w:type="dxa"/>
          </w:tcPr>
          <w:p w14:paraId="08F7DD68">
            <w:pPr>
              <w:pStyle w:val="8"/>
              <w:rPr>
                <w:rFonts w:ascii="Times New Roman"/>
                <w:sz w:val="18"/>
              </w:rPr>
            </w:pPr>
          </w:p>
        </w:tc>
        <w:tc>
          <w:tcPr>
            <w:tcW w:w="870" w:type="dxa"/>
          </w:tcPr>
          <w:p w14:paraId="1E8A7A8E">
            <w:pPr>
              <w:pStyle w:val="8"/>
              <w:rPr>
                <w:rFonts w:ascii="Times New Roman"/>
                <w:sz w:val="18"/>
              </w:rPr>
            </w:pPr>
          </w:p>
        </w:tc>
        <w:tc>
          <w:tcPr>
            <w:tcW w:w="869" w:type="dxa"/>
          </w:tcPr>
          <w:p w14:paraId="7434941F">
            <w:pPr>
              <w:pStyle w:val="8"/>
              <w:rPr>
                <w:rFonts w:ascii="Times New Roman"/>
                <w:sz w:val="18"/>
              </w:rPr>
            </w:pPr>
          </w:p>
        </w:tc>
      </w:tr>
      <w:tr w14:paraId="5F78641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870" w:type="dxa"/>
          </w:tcPr>
          <w:p w14:paraId="763E76F1">
            <w:pPr>
              <w:pStyle w:val="8"/>
              <w:spacing w:before="44"/>
              <w:ind w:left="8"/>
              <w:jc w:val="center"/>
              <w:rPr>
                <w:sz w:val="18"/>
              </w:rPr>
            </w:pPr>
            <w:r>
              <w:rPr>
                <w:color w:val="231F20"/>
                <w:sz w:val="18"/>
              </w:rPr>
              <w:t>2</w:t>
            </w:r>
          </w:p>
        </w:tc>
        <w:tc>
          <w:tcPr>
            <w:tcW w:w="4956" w:type="dxa"/>
          </w:tcPr>
          <w:p w14:paraId="615712BF">
            <w:pPr>
              <w:pStyle w:val="8"/>
              <w:spacing w:before="44"/>
              <w:ind w:left="1287" w:right="1279"/>
              <w:jc w:val="center"/>
              <w:rPr>
                <w:sz w:val="18"/>
              </w:rPr>
            </w:pPr>
            <w:r>
              <w:rPr>
                <w:color w:val="231F20"/>
                <w:sz w:val="18"/>
              </w:rPr>
              <w:t>代办授权委托书和证件复印件</w:t>
            </w:r>
          </w:p>
        </w:tc>
        <w:tc>
          <w:tcPr>
            <w:tcW w:w="1498" w:type="dxa"/>
          </w:tcPr>
          <w:p w14:paraId="02ED0FAB">
            <w:pPr>
              <w:pStyle w:val="8"/>
              <w:rPr>
                <w:rFonts w:ascii="Times New Roman"/>
                <w:sz w:val="18"/>
              </w:rPr>
            </w:pPr>
          </w:p>
        </w:tc>
        <w:tc>
          <w:tcPr>
            <w:tcW w:w="870" w:type="dxa"/>
          </w:tcPr>
          <w:p w14:paraId="5B914F17">
            <w:pPr>
              <w:pStyle w:val="8"/>
              <w:rPr>
                <w:rFonts w:ascii="Times New Roman"/>
                <w:sz w:val="18"/>
              </w:rPr>
            </w:pPr>
          </w:p>
        </w:tc>
        <w:tc>
          <w:tcPr>
            <w:tcW w:w="869" w:type="dxa"/>
          </w:tcPr>
          <w:p w14:paraId="63C5ED4A">
            <w:pPr>
              <w:pStyle w:val="8"/>
              <w:rPr>
                <w:rFonts w:ascii="Times New Roman"/>
                <w:sz w:val="18"/>
              </w:rPr>
            </w:pPr>
          </w:p>
        </w:tc>
      </w:tr>
      <w:tr w14:paraId="12EB8EB5">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870" w:type="dxa"/>
          </w:tcPr>
          <w:p w14:paraId="0C4B0B0D">
            <w:pPr>
              <w:pStyle w:val="8"/>
              <w:spacing w:before="44"/>
              <w:ind w:left="8"/>
              <w:jc w:val="center"/>
              <w:rPr>
                <w:sz w:val="18"/>
              </w:rPr>
            </w:pPr>
            <w:r>
              <w:rPr>
                <w:color w:val="231F20"/>
                <w:sz w:val="18"/>
              </w:rPr>
              <w:t>3</w:t>
            </w:r>
          </w:p>
        </w:tc>
        <w:tc>
          <w:tcPr>
            <w:tcW w:w="4956" w:type="dxa"/>
          </w:tcPr>
          <w:p w14:paraId="182FAAAA">
            <w:pPr>
              <w:pStyle w:val="8"/>
              <w:spacing w:before="44"/>
              <w:ind w:left="1287" w:right="1279"/>
              <w:jc w:val="center"/>
              <w:rPr>
                <w:sz w:val="18"/>
              </w:rPr>
            </w:pPr>
            <w:r>
              <w:rPr>
                <w:color w:val="231F20"/>
                <w:sz w:val="18"/>
              </w:rPr>
              <w:t>流转林地四至范围附图</w:t>
            </w:r>
          </w:p>
        </w:tc>
        <w:tc>
          <w:tcPr>
            <w:tcW w:w="1498" w:type="dxa"/>
          </w:tcPr>
          <w:p w14:paraId="003C0AEE">
            <w:pPr>
              <w:pStyle w:val="8"/>
              <w:rPr>
                <w:rFonts w:ascii="Times New Roman"/>
                <w:sz w:val="18"/>
              </w:rPr>
            </w:pPr>
          </w:p>
        </w:tc>
        <w:tc>
          <w:tcPr>
            <w:tcW w:w="870" w:type="dxa"/>
          </w:tcPr>
          <w:p w14:paraId="043CF86F">
            <w:pPr>
              <w:pStyle w:val="8"/>
              <w:rPr>
                <w:rFonts w:ascii="Times New Roman"/>
                <w:sz w:val="18"/>
              </w:rPr>
            </w:pPr>
          </w:p>
        </w:tc>
        <w:tc>
          <w:tcPr>
            <w:tcW w:w="869" w:type="dxa"/>
          </w:tcPr>
          <w:p w14:paraId="62769C8D">
            <w:pPr>
              <w:pStyle w:val="8"/>
              <w:rPr>
                <w:rFonts w:ascii="Times New Roman"/>
                <w:sz w:val="18"/>
              </w:rPr>
            </w:pPr>
          </w:p>
        </w:tc>
      </w:tr>
      <w:tr w14:paraId="35E7FF8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870" w:type="dxa"/>
          </w:tcPr>
          <w:p w14:paraId="5267F9E8">
            <w:pPr>
              <w:pStyle w:val="8"/>
              <w:spacing w:before="44"/>
              <w:ind w:left="8"/>
              <w:jc w:val="center"/>
              <w:rPr>
                <w:sz w:val="18"/>
              </w:rPr>
            </w:pPr>
            <w:r>
              <w:rPr>
                <w:color w:val="231F20"/>
                <w:sz w:val="18"/>
              </w:rPr>
              <w:t>4</w:t>
            </w:r>
          </w:p>
        </w:tc>
        <w:tc>
          <w:tcPr>
            <w:tcW w:w="4956" w:type="dxa"/>
          </w:tcPr>
          <w:p w14:paraId="2453FF5E">
            <w:pPr>
              <w:pStyle w:val="8"/>
              <w:spacing w:before="44"/>
              <w:ind w:left="1287" w:right="1279"/>
              <w:jc w:val="center"/>
              <w:rPr>
                <w:sz w:val="18"/>
              </w:rPr>
            </w:pPr>
            <w:r>
              <w:rPr>
                <w:color w:val="231F20"/>
                <w:sz w:val="18"/>
              </w:rPr>
              <w:t>流转林权的权属证明</w:t>
            </w:r>
          </w:p>
        </w:tc>
        <w:tc>
          <w:tcPr>
            <w:tcW w:w="1498" w:type="dxa"/>
          </w:tcPr>
          <w:p w14:paraId="49E9BB70">
            <w:pPr>
              <w:pStyle w:val="8"/>
              <w:rPr>
                <w:rFonts w:ascii="Times New Roman"/>
                <w:sz w:val="18"/>
              </w:rPr>
            </w:pPr>
          </w:p>
        </w:tc>
        <w:tc>
          <w:tcPr>
            <w:tcW w:w="870" w:type="dxa"/>
          </w:tcPr>
          <w:p w14:paraId="7A7B8D05">
            <w:pPr>
              <w:pStyle w:val="8"/>
              <w:rPr>
                <w:rFonts w:ascii="Times New Roman"/>
                <w:sz w:val="18"/>
              </w:rPr>
            </w:pPr>
          </w:p>
        </w:tc>
        <w:tc>
          <w:tcPr>
            <w:tcW w:w="869" w:type="dxa"/>
          </w:tcPr>
          <w:p w14:paraId="4F3D3D31">
            <w:pPr>
              <w:pStyle w:val="8"/>
              <w:rPr>
                <w:rFonts w:ascii="Times New Roman"/>
                <w:sz w:val="18"/>
              </w:rPr>
            </w:pPr>
          </w:p>
        </w:tc>
      </w:tr>
      <w:tr w14:paraId="21A55549">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870" w:type="dxa"/>
          </w:tcPr>
          <w:p w14:paraId="0D1647B0">
            <w:pPr>
              <w:pStyle w:val="8"/>
              <w:spacing w:before="44"/>
              <w:ind w:left="8"/>
              <w:jc w:val="center"/>
              <w:rPr>
                <w:sz w:val="18"/>
              </w:rPr>
            </w:pPr>
            <w:r>
              <w:rPr>
                <w:color w:val="231F20"/>
                <w:sz w:val="18"/>
              </w:rPr>
              <w:t>5</w:t>
            </w:r>
          </w:p>
        </w:tc>
        <w:tc>
          <w:tcPr>
            <w:tcW w:w="4956" w:type="dxa"/>
          </w:tcPr>
          <w:p w14:paraId="1EE76C5D">
            <w:pPr>
              <w:pStyle w:val="8"/>
              <w:spacing w:before="44"/>
              <w:ind w:left="1287" w:right="1279"/>
              <w:jc w:val="center"/>
              <w:rPr>
                <w:sz w:val="18"/>
              </w:rPr>
            </w:pPr>
            <w:r>
              <w:rPr>
                <w:color w:val="231F20"/>
                <w:sz w:val="18"/>
              </w:rPr>
              <w:t>村民会议决议书及公示材料</w:t>
            </w:r>
          </w:p>
        </w:tc>
        <w:tc>
          <w:tcPr>
            <w:tcW w:w="1498" w:type="dxa"/>
          </w:tcPr>
          <w:p w14:paraId="04F203D2">
            <w:pPr>
              <w:pStyle w:val="8"/>
              <w:rPr>
                <w:rFonts w:ascii="Times New Roman"/>
                <w:sz w:val="18"/>
              </w:rPr>
            </w:pPr>
          </w:p>
        </w:tc>
        <w:tc>
          <w:tcPr>
            <w:tcW w:w="870" w:type="dxa"/>
          </w:tcPr>
          <w:p w14:paraId="03A1280B">
            <w:pPr>
              <w:pStyle w:val="8"/>
              <w:rPr>
                <w:rFonts w:ascii="Times New Roman"/>
                <w:sz w:val="18"/>
              </w:rPr>
            </w:pPr>
          </w:p>
        </w:tc>
        <w:tc>
          <w:tcPr>
            <w:tcW w:w="869" w:type="dxa"/>
          </w:tcPr>
          <w:p w14:paraId="49AE43BF">
            <w:pPr>
              <w:pStyle w:val="8"/>
              <w:rPr>
                <w:rFonts w:ascii="Times New Roman"/>
                <w:sz w:val="18"/>
              </w:rPr>
            </w:pPr>
          </w:p>
        </w:tc>
      </w:tr>
      <w:tr w14:paraId="05D8C8F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870" w:type="dxa"/>
          </w:tcPr>
          <w:p w14:paraId="14B62ADE">
            <w:pPr>
              <w:pStyle w:val="8"/>
              <w:spacing w:before="44"/>
              <w:ind w:left="8"/>
              <w:jc w:val="center"/>
              <w:rPr>
                <w:sz w:val="18"/>
              </w:rPr>
            </w:pPr>
            <w:r>
              <w:rPr>
                <w:color w:val="231F20"/>
                <w:sz w:val="18"/>
              </w:rPr>
              <w:t>6</w:t>
            </w:r>
          </w:p>
        </w:tc>
        <w:tc>
          <w:tcPr>
            <w:tcW w:w="4956" w:type="dxa"/>
          </w:tcPr>
          <w:p w14:paraId="53C1B56F">
            <w:pPr>
              <w:pStyle w:val="8"/>
              <w:spacing w:before="44"/>
              <w:ind w:left="1287" w:right="1279"/>
              <w:jc w:val="center"/>
              <w:rPr>
                <w:sz w:val="18"/>
              </w:rPr>
            </w:pPr>
            <w:r>
              <w:rPr>
                <w:color w:val="231F20"/>
                <w:sz w:val="18"/>
              </w:rPr>
              <w:t>附属建筑及设施清单</w:t>
            </w:r>
          </w:p>
        </w:tc>
        <w:tc>
          <w:tcPr>
            <w:tcW w:w="1498" w:type="dxa"/>
          </w:tcPr>
          <w:p w14:paraId="26310EAF">
            <w:pPr>
              <w:pStyle w:val="8"/>
              <w:rPr>
                <w:rFonts w:ascii="Times New Roman"/>
                <w:sz w:val="18"/>
              </w:rPr>
            </w:pPr>
          </w:p>
        </w:tc>
        <w:tc>
          <w:tcPr>
            <w:tcW w:w="870" w:type="dxa"/>
          </w:tcPr>
          <w:p w14:paraId="368E8C85">
            <w:pPr>
              <w:pStyle w:val="8"/>
              <w:rPr>
                <w:rFonts w:ascii="Times New Roman"/>
                <w:sz w:val="18"/>
              </w:rPr>
            </w:pPr>
          </w:p>
        </w:tc>
        <w:tc>
          <w:tcPr>
            <w:tcW w:w="869" w:type="dxa"/>
          </w:tcPr>
          <w:p w14:paraId="110BB14C">
            <w:pPr>
              <w:pStyle w:val="8"/>
              <w:rPr>
                <w:rFonts w:ascii="Times New Roman"/>
                <w:sz w:val="18"/>
              </w:rPr>
            </w:pPr>
          </w:p>
        </w:tc>
      </w:tr>
      <w:tr w14:paraId="38486FE2">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870" w:type="dxa"/>
          </w:tcPr>
          <w:p w14:paraId="4C58CCAF">
            <w:pPr>
              <w:pStyle w:val="8"/>
              <w:spacing w:before="44"/>
              <w:ind w:left="8"/>
              <w:jc w:val="center"/>
              <w:rPr>
                <w:sz w:val="18"/>
              </w:rPr>
            </w:pPr>
            <w:r>
              <w:rPr>
                <w:color w:val="231F20"/>
                <w:sz w:val="18"/>
              </w:rPr>
              <w:t>7</w:t>
            </w:r>
          </w:p>
        </w:tc>
        <w:tc>
          <w:tcPr>
            <w:tcW w:w="4956" w:type="dxa"/>
          </w:tcPr>
          <w:p w14:paraId="790CBC0E">
            <w:pPr>
              <w:pStyle w:val="8"/>
              <w:spacing w:before="44"/>
              <w:ind w:left="1287" w:right="1279"/>
              <w:jc w:val="center"/>
              <w:rPr>
                <w:sz w:val="18"/>
              </w:rPr>
            </w:pPr>
            <w:r>
              <w:rPr>
                <w:color w:val="231F20"/>
                <w:sz w:val="18"/>
              </w:rPr>
              <w:t>同意再流转的书面材料</w:t>
            </w:r>
          </w:p>
        </w:tc>
        <w:tc>
          <w:tcPr>
            <w:tcW w:w="1498" w:type="dxa"/>
          </w:tcPr>
          <w:p w14:paraId="79035CAF">
            <w:pPr>
              <w:pStyle w:val="8"/>
              <w:rPr>
                <w:rFonts w:ascii="Times New Roman"/>
                <w:sz w:val="18"/>
              </w:rPr>
            </w:pPr>
          </w:p>
        </w:tc>
        <w:tc>
          <w:tcPr>
            <w:tcW w:w="870" w:type="dxa"/>
          </w:tcPr>
          <w:p w14:paraId="0F5E7E79">
            <w:pPr>
              <w:pStyle w:val="8"/>
              <w:rPr>
                <w:rFonts w:ascii="Times New Roman"/>
                <w:sz w:val="18"/>
              </w:rPr>
            </w:pPr>
          </w:p>
        </w:tc>
        <w:tc>
          <w:tcPr>
            <w:tcW w:w="869" w:type="dxa"/>
          </w:tcPr>
          <w:p w14:paraId="1E635F4F">
            <w:pPr>
              <w:pStyle w:val="8"/>
              <w:rPr>
                <w:rFonts w:ascii="Times New Roman"/>
                <w:sz w:val="18"/>
              </w:rPr>
            </w:pPr>
          </w:p>
        </w:tc>
      </w:tr>
      <w:tr w14:paraId="0DDD1C7F">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870" w:type="dxa"/>
          </w:tcPr>
          <w:p w14:paraId="3D4E3712">
            <w:pPr>
              <w:pStyle w:val="8"/>
              <w:rPr>
                <w:rFonts w:ascii="Times New Roman"/>
                <w:sz w:val="18"/>
              </w:rPr>
            </w:pPr>
          </w:p>
        </w:tc>
        <w:tc>
          <w:tcPr>
            <w:tcW w:w="4956" w:type="dxa"/>
          </w:tcPr>
          <w:p w14:paraId="182A7327">
            <w:pPr>
              <w:pStyle w:val="8"/>
              <w:rPr>
                <w:rFonts w:ascii="Times New Roman"/>
                <w:sz w:val="18"/>
              </w:rPr>
            </w:pPr>
          </w:p>
        </w:tc>
        <w:tc>
          <w:tcPr>
            <w:tcW w:w="1498" w:type="dxa"/>
          </w:tcPr>
          <w:p w14:paraId="39E56C5F">
            <w:pPr>
              <w:pStyle w:val="8"/>
              <w:rPr>
                <w:rFonts w:ascii="Times New Roman"/>
                <w:sz w:val="18"/>
              </w:rPr>
            </w:pPr>
          </w:p>
        </w:tc>
        <w:tc>
          <w:tcPr>
            <w:tcW w:w="870" w:type="dxa"/>
          </w:tcPr>
          <w:p w14:paraId="6DE3D9AF">
            <w:pPr>
              <w:pStyle w:val="8"/>
              <w:rPr>
                <w:rFonts w:ascii="Times New Roman"/>
                <w:sz w:val="18"/>
              </w:rPr>
            </w:pPr>
          </w:p>
        </w:tc>
        <w:tc>
          <w:tcPr>
            <w:tcW w:w="869" w:type="dxa"/>
          </w:tcPr>
          <w:p w14:paraId="3FAF201A">
            <w:pPr>
              <w:pStyle w:val="8"/>
              <w:rPr>
                <w:rFonts w:ascii="Times New Roman"/>
                <w:sz w:val="18"/>
              </w:rPr>
            </w:pPr>
          </w:p>
        </w:tc>
      </w:tr>
      <w:tr w14:paraId="16313754">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870" w:type="dxa"/>
          </w:tcPr>
          <w:p w14:paraId="50B79B48">
            <w:pPr>
              <w:pStyle w:val="8"/>
              <w:rPr>
                <w:rFonts w:ascii="Times New Roman"/>
                <w:sz w:val="18"/>
              </w:rPr>
            </w:pPr>
          </w:p>
        </w:tc>
        <w:tc>
          <w:tcPr>
            <w:tcW w:w="4956" w:type="dxa"/>
          </w:tcPr>
          <w:p w14:paraId="6F6B9C4F">
            <w:pPr>
              <w:pStyle w:val="8"/>
              <w:rPr>
                <w:rFonts w:ascii="Times New Roman"/>
                <w:sz w:val="18"/>
              </w:rPr>
            </w:pPr>
          </w:p>
        </w:tc>
        <w:tc>
          <w:tcPr>
            <w:tcW w:w="1498" w:type="dxa"/>
          </w:tcPr>
          <w:p w14:paraId="589B3D5D">
            <w:pPr>
              <w:pStyle w:val="8"/>
              <w:rPr>
                <w:rFonts w:ascii="Times New Roman"/>
                <w:sz w:val="18"/>
              </w:rPr>
            </w:pPr>
          </w:p>
        </w:tc>
        <w:tc>
          <w:tcPr>
            <w:tcW w:w="870" w:type="dxa"/>
          </w:tcPr>
          <w:p w14:paraId="0FAAA652">
            <w:pPr>
              <w:pStyle w:val="8"/>
              <w:rPr>
                <w:rFonts w:ascii="Times New Roman"/>
                <w:sz w:val="18"/>
              </w:rPr>
            </w:pPr>
          </w:p>
        </w:tc>
        <w:tc>
          <w:tcPr>
            <w:tcW w:w="869" w:type="dxa"/>
          </w:tcPr>
          <w:p w14:paraId="5F6F56B1">
            <w:pPr>
              <w:pStyle w:val="8"/>
              <w:rPr>
                <w:rFonts w:ascii="Times New Roman"/>
                <w:sz w:val="18"/>
              </w:rPr>
            </w:pPr>
          </w:p>
        </w:tc>
      </w:tr>
      <w:tr w14:paraId="0F641497">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870" w:type="dxa"/>
          </w:tcPr>
          <w:p w14:paraId="2EF237CE">
            <w:pPr>
              <w:pStyle w:val="8"/>
              <w:rPr>
                <w:rFonts w:ascii="Times New Roman"/>
                <w:sz w:val="18"/>
              </w:rPr>
            </w:pPr>
          </w:p>
        </w:tc>
        <w:tc>
          <w:tcPr>
            <w:tcW w:w="4956" w:type="dxa"/>
          </w:tcPr>
          <w:p w14:paraId="2A9B428B">
            <w:pPr>
              <w:pStyle w:val="8"/>
              <w:rPr>
                <w:rFonts w:ascii="Times New Roman"/>
                <w:sz w:val="18"/>
              </w:rPr>
            </w:pPr>
          </w:p>
        </w:tc>
        <w:tc>
          <w:tcPr>
            <w:tcW w:w="1498" w:type="dxa"/>
          </w:tcPr>
          <w:p w14:paraId="2F20A087">
            <w:pPr>
              <w:pStyle w:val="8"/>
              <w:rPr>
                <w:rFonts w:ascii="Times New Roman"/>
                <w:sz w:val="18"/>
              </w:rPr>
            </w:pPr>
          </w:p>
        </w:tc>
        <w:tc>
          <w:tcPr>
            <w:tcW w:w="870" w:type="dxa"/>
          </w:tcPr>
          <w:p w14:paraId="5C9AED61">
            <w:pPr>
              <w:pStyle w:val="8"/>
              <w:rPr>
                <w:rFonts w:ascii="Times New Roman"/>
                <w:sz w:val="18"/>
              </w:rPr>
            </w:pPr>
          </w:p>
        </w:tc>
        <w:tc>
          <w:tcPr>
            <w:tcW w:w="869" w:type="dxa"/>
          </w:tcPr>
          <w:p w14:paraId="165EBC4A">
            <w:pPr>
              <w:pStyle w:val="8"/>
              <w:rPr>
                <w:rFonts w:ascii="Times New Roman"/>
                <w:sz w:val="18"/>
              </w:rPr>
            </w:pPr>
          </w:p>
        </w:tc>
      </w:tr>
      <w:tr w14:paraId="5EDCA02D">
        <w:tblPrEx>
          <w:tblBorders>
            <w:top w:val="single" w:color="231F20" w:sz="4" w:space="0"/>
            <w:left w:val="single" w:color="231F20" w:sz="4" w:space="0"/>
            <w:bottom w:val="single" w:color="231F20" w:sz="4" w:space="0"/>
            <w:right w:val="single" w:color="231F20" w:sz="4" w:space="0"/>
            <w:insideH w:val="single" w:color="231F20" w:sz="4" w:space="0"/>
            <w:insideV w:val="single" w:color="231F20" w:sz="4" w:space="0"/>
          </w:tblBorders>
          <w:tblCellMar>
            <w:top w:w="0" w:type="dxa"/>
            <w:left w:w="0" w:type="dxa"/>
            <w:bottom w:w="0" w:type="dxa"/>
            <w:right w:w="0" w:type="dxa"/>
          </w:tblCellMar>
        </w:tblPrEx>
        <w:trPr>
          <w:trHeight w:val="380" w:hRule="atLeast"/>
        </w:trPr>
        <w:tc>
          <w:tcPr>
            <w:tcW w:w="9063" w:type="dxa"/>
            <w:gridSpan w:val="5"/>
          </w:tcPr>
          <w:p w14:paraId="04A88B47">
            <w:pPr>
              <w:pStyle w:val="8"/>
              <w:tabs>
                <w:tab w:val="left" w:pos="1012"/>
                <w:tab w:val="left" w:pos="1912"/>
              </w:tabs>
              <w:spacing w:before="44"/>
              <w:ind w:left="112"/>
              <w:rPr>
                <w:sz w:val="18"/>
              </w:rPr>
            </w:pPr>
            <w:r>
              <w:rPr>
                <w:color w:val="231F20"/>
                <w:sz w:val="18"/>
              </w:rPr>
              <w:t>共计</w:t>
            </w:r>
            <w:r>
              <w:rPr>
                <w:color w:val="231F20"/>
                <w:sz w:val="18"/>
              </w:rPr>
              <w:tab/>
            </w:r>
            <w:r>
              <w:rPr>
                <w:color w:val="231F20"/>
                <w:sz w:val="18"/>
              </w:rPr>
              <w:t>份，</w:t>
            </w:r>
            <w:r>
              <w:rPr>
                <w:color w:val="231F20"/>
                <w:sz w:val="18"/>
              </w:rPr>
              <w:tab/>
            </w:r>
            <w:r>
              <w:rPr>
                <w:color w:val="231F20"/>
                <w:sz w:val="18"/>
              </w:rPr>
              <w:t>页</w:t>
            </w:r>
          </w:p>
        </w:tc>
      </w:tr>
    </w:tbl>
    <w:p w14:paraId="744B4783"/>
    <w:sectPr>
      <w:pgSz w:w="11910" w:h="16840"/>
      <w:pgMar w:top="1580" w:right="1300" w:bottom="1020" w:left="1300" w:header="0" w:footer="832"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方正书宋_GBK">
    <w:altName w:val="微软雅黑"/>
    <w:panose1 w:val="00000000000000000000"/>
    <w:charset w:val="86"/>
    <w:family w:val="script"/>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楷体_GBK">
    <w:altName w:val="微软雅黑"/>
    <w:panose1 w:val="00000000000000000000"/>
    <w:charset w:val="86"/>
    <w:family w:val="script"/>
    <w:pitch w:val="default"/>
    <w:sig w:usb0="00000000" w:usb1="00000000" w:usb2="00000000" w:usb3="00000000" w:csb0="00000000" w:csb1="00000000"/>
  </w:font>
  <w:font w:name="方正小标宋_GBK">
    <w:altName w:val="微软雅黑"/>
    <w:panose1 w:val="02000000000000000000"/>
    <w:charset w:val="86"/>
    <w:family w:val="script"/>
    <w:pitch w:val="default"/>
    <w:sig w:usb0="00000000" w:usb1="00000000" w:usb2="00082016" w:usb3="00000000" w:csb0="00040001" w:csb1="00000000"/>
  </w:font>
  <w:font w:name="方正黑体_GBK">
    <w:altName w:val="微软雅黑"/>
    <w:panose1 w:val="00000000000000000000"/>
    <w:charset w:val="86"/>
    <w:family w:val="script"/>
    <w:pitch w:val="default"/>
    <w:sig w:usb0="00000000" w:usb1="00000000" w:usb2="00000000" w:usb3="00000000" w:csb0="0000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E61C7">
    <w:pPr>
      <w:pStyle w:val="3"/>
      <w:spacing w:line="14" w:lineRule="auto"/>
      <w:rPr>
        <w:sz w:val="20"/>
      </w:rPr>
    </w:pPr>
    <w:r>
      <w:pict>
        <v:shape id="_x0000_s2049" o:spid="_x0000_s2049" o:spt="202" type="#_x0000_t202" style="position:absolute;left:0pt;margin-left:517.4pt;margin-top:789.25pt;height:13.1pt;width:9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14:paraId="110A41A4">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1</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6FE25E">
    <w:pPr>
      <w:pStyle w:val="3"/>
      <w:spacing w:line="14" w:lineRule="auto"/>
      <w:rPr>
        <w:sz w:val="20"/>
      </w:rPr>
    </w:pPr>
    <w:r>
      <w:pict>
        <v:shape id="_x0000_s2050" o:spid="_x0000_s2050" o:spt="202" type="#_x0000_t202" style="position:absolute;left:0pt;margin-left:68.85pt;margin-top:789.25pt;height:13.1pt;width:9pt;mso-position-horizontal-relative:page;mso-position-vertical-relative:page;z-index:-251655168;mso-width-relative:page;mso-height-relative:page;" filled="f" stroked="f" coordsize="21600,21600">
          <v:path/>
          <v:fill on="f" focussize="0,0"/>
          <v:stroke on="f" joinstyle="miter"/>
          <v:imagedata o:title=""/>
          <o:lock v:ext="edit"/>
          <v:textbox inset="0mm,0mm,0mm,0mm">
            <w:txbxContent>
              <w:p w14:paraId="1C81AD97">
                <w:pPr>
                  <w:spacing w:before="11"/>
                  <w:ind w:left="40" w:right="0" w:firstLine="0"/>
                  <w:jc w:val="left"/>
                  <w:rPr>
                    <w:rFonts w:ascii="Times New Roman"/>
                    <w:sz w:val="20"/>
                  </w:rPr>
                </w:pPr>
                <w:r>
                  <w:fldChar w:fldCharType="begin"/>
                </w:r>
                <w:r>
                  <w:rPr>
                    <w:rFonts w:ascii="Times New Roman"/>
                    <w:color w:val="231F20"/>
                    <w:sz w:val="20"/>
                  </w:rPr>
                  <w:instrText xml:space="preserve"> PAGE </w:instrText>
                </w:r>
                <w:r>
                  <w:fldChar w:fldCharType="separate"/>
                </w:r>
                <w:r>
                  <w:t>2</w:t>
                </w:r>
                <w:r>
                  <w:fldChar w:fldCharType="end"/>
                </w: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decimal"/>
      <w:lvlText w:val="%1."/>
      <w:lvlJc w:val="left"/>
      <w:pPr>
        <w:ind w:left="117" w:hanging="220"/>
        <w:jc w:val="left"/>
      </w:pPr>
      <w:rPr>
        <w:rFonts w:hint="default" w:ascii="方正书宋_GBK" w:hAnsi="方正书宋_GBK" w:eastAsia="方正书宋_GBK" w:cs="方正书宋_GBK"/>
        <w:color w:val="231F20"/>
        <w:w w:val="100"/>
        <w:sz w:val="22"/>
        <w:szCs w:val="22"/>
      </w:rPr>
    </w:lvl>
    <w:lvl w:ilvl="1" w:tentative="0">
      <w:start w:val="0"/>
      <w:numFmt w:val="bullet"/>
      <w:lvlText w:val="•"/>
      <w:lvlJc w:val="left"/>
      <w:pPr>
        <w:ind w:left="1048" w:hanging="220"/>
      </w:pPr>
      <w:rPr>
        <w:rFonts w:hint="default"/>
      </w:rPr>
    </w:lvl>
    <w:lvl w:ilvl="2" w:tentative="0">
      <w:start w:val="0"/>
      <w:numFmt w:val="bullet"/>
      <w:lvlText w:val="•"/>
      <w:lvlJc w:val="left"/>
      <w:pPr>
        <w:ind w:left="1977" w:hanging="220"/>
      </w:pPr>
      <w:rPr>
        <w:rFonts w:hint="default"/>
      </w:rPr>
    </w:lvl>
    <w:lvl w:ilvl="3" w:tentative="0">
      <w:start w:val="0"/>
      <w:numFmt w:val="bullet"/>
      <w:lvlText w:val="•"/>
      <w:lvlJc w:val="left"/>
      <w:pPr>
        <w:ind w:left="2905" w:hanging="220"/>
      </w:pPr>
      <w:rPr>
        <w:rFonts w:hint="default"/>
      </w:rPr>
    </w:lvl>
    <w:lvl w:ilvl="4" w:tentative="0">
      <w:start w:val="0"/>
      <w:numFmt w:val="bullet"/>
      <w:lvlText w:val="•"/>
      <w:lvlJc w:val="left"/>
      <w:pPr>
        <w:ind w:left="3834" w:hanging="220"/>
      </w:pPr>
      <w:rPr>
        <w:rFonts w:hint="default"/>
      </w:rPr>
    </w:lvl>
    <w:lvl w:ilvl="5" w:tentative="0">
      <w:start w:val="0"/>
      <w:numFmt w:val="bullet"/>
      <w:lvlText w:val="•"/>
      <w:lvlJc w:val="left"/>
      <w:pPr>
        <w:ind w:left="4762" w:hanging="220"/>
      </w:pPr>
      <w:rPr>
        <w:rFonts w:hint="default"/>
      </w:rPr>
    </w:lvl>
    <w:lvl w:ilvl="6" w:tentative="0">
      <w:start w:val="0"/>
      <w:numFmt w:val="bullet"/>
      <w:lvlText w:val="•"/>
      <w:lvlJc w:val="left"/>
      <w:pPr>
        <w:ind w:left="5691" w:hanging="220"/>
      </w:pPr>
      <w:rPr>
        <w:rFonts w:hint="default"/>
      </w:rPr>
    </w:lvl>
    <w:lvl w:ilvl="7" w:tentative="0">
      <w:start w:val="0"/>
      <w:numFmt w:val="bullet"/>
      <w:lvlText w:val="•"/>
      <w:lvlJc w:val="left"/>
      <w:pPr>
        <w:ind w:left="6619" w:hanging="220"/>
      </w:pPr>
      <w:rPr>
        <w:rFonts w:hint="default"/>
      </w:rPr>
    </w:lvl>
    <w:lvl w:ilvl="8" w:tentative="0">
      <w:start w:val="0"/>
      <w:numFmt w:val="bullet"/>
      <w:lvlText w:val="•"/>
      <w:lvlJc w:val="left"/>
      <w:pPr>
        <w:ind w:left="7548" w:hanging="22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cumentProtection w:enforcement="0"/>
  <w:defaultTabStop w:val="720"/>
  <w:evenAndOddHeaders w:val="1"/>
  <w:drawingGridHorizontalSpacing w:val="110"/>
  <w:displayHorizontalDrawingGridEvery w:val="2"/>
  <w:characterSpacingControl w:val="doNotCompress"/>
  <w:hdrShapeDefaults>
    <o:shapelayout v:ext="edit">
      <o:idmap v:ext="edit" data="2"/>
    </o:shapelayout>
  </w:hdrShapeDefaults>
  <w:footnotePr>
    <w:footnote w:id="0"/>
    <w:footnote w:id="1"/>
  </w:footnotePr>
  <w:endnotePr>
    <w:endnote w:id="0"/>
    <w:endnote w:id="1"/>
  </w:endnotePr>
  <w:compat>
    <w:ulTrailSpace/>
    <w:useFELayout/>
    <w:compatSetting w:name="compatibilityMode" w:uri="http://schemas.microsoft.com/office/word" w:val="12"/>
  </w:compat>
  <w:rsids>
    <w:rsidRoot w:val="00000000"/>
    <w:rsid w:val="06F57AD7"/>
    <w:rsid w:val="070A2A0C"/>
    <w:rsid w:val="118C3D75"/>
    <w:rsid w:val="127816D9"/>
    <w:rsid w:val="32485C5D"/>
    <w:rsid w:val="594B20B1"/>
    <w:rsid w:val="77307F2A"/>
    <w:rsid w:val="7E120C3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autoSpaceDE w:val="0"/>
      <w:autoSpaceDN w:val="0"/>
      <w:spacing w:before="0" w:after="0" w:line="240" w:lineRule="auto"/>
      <w:ind w:left="0" w:right="0"/>
      <w:jc w:val="left"/>
    </w:pPr>
    <w:rPr>
      <w:rFonts w:ascii="方正书宋_GBK" w:hAnsi="方正书宋_GBK" w:eastAsia="方正书宋_GBK" w:cs="方正书宋_GBK"/>
      <w:sz w:val="22"/>
      <w:szCs w:val="22"/>
      <w:lang w:val="en-US" w:eastAsia="en-US" w:bidi="ar-SA"/>
    </w:rPr>
  </w:style>
  <w:style w:type="paragraph" w:styleId="2">
    <w:name w:val="heading 1"/>
    <w:basedOn w:val="1"/>
    <w:qFormat/>
    <w:uiPriority w:val="1"/>
    <w:pPr>
      <w:spacing w:before="3"/>
      <w:ind w:left="117"/>
      <w:outlineLvl w:val="1"/>
    </w:pPr>
    <w:rPr>
      <w:rFonts w:ascii="方正楷体_GBK" w:hAnsi="方正楷体_GBK" w:eastAsia="方正楷体_GBK" w:cs="方正楷体_GBK"/>
      <w:sz w:val="28"/>
      <w:szCs w:val="28"/>
    </w:rPr>
  </w:style>
  <w:style w:type="character" w:default="1" w:styleId="5">
    <w:name w:val="Default Paragraph Font"/>
    <w:semiHidden/>
    <w:unhideWhenUsed/>
    <w:qFormat/>
    <w:uiPriority w:val="1"/>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方正书宋_GBK" w:hAnsi="方正书宋_GBK" w:eastAsia="方正书宋_GBK" w:cs="方正书宋_GBK"/>
      <w:sz w:val="22"/>
      <w:szCs w:val="22"/>
    </w:rPr>
  </w:style>
  <w:style w:type="table" w:customStyle="1" w:styleId="6">
    <w:name w:val="Table Normal"/>
    <w:semiHidden/>
    <w:unhideWhenUsed/>
    <w:qFormat/>
    <w:uiPriority w:val="2"/>
    <w:tblPr>
      <w:tblCellMar>
        <w:top w:w="0" w:type="dxa"/>
        <w:left w:w="0" w:type="dxa"/>
        <w:bottom w:w="0" w:type="dxa"/>
        <w:right w:w="0" w:type="dxa"/>
      </w:tblCellMar>
    </w:tblPr>
  </w:style>
  <w:style w:type="paragraph" w:styleId="7">
    <w:name w:val="List Paragraph"/>
    <w:basedOn w:val="1"/>
    <w:qFormat/>
    <w:uiPriority w:val="1"/>
    <w:pPr>
      <w:spacing w:before="108"/>
      <w:ind w:left="117" w:hanging="218"/>
    </w:pPr>
    <w:rPr>
      <w:rFonts w:ascii="方正书宋_GBK" w:hAnsi="方正书宋_GBK" w:eastAsia="方正书宋_GBK" w:cs="方正书宋_GBK"/>
      <w:u w:val="single" w:color="000000"/>
    </w:rPr>
  </w:style>
  <w:style w:type="paragraph" w:customStyle="1" w:styleId="8">
    <w:name w:val="Table Paragraph"/>
    <w:basedOn w:val="1"/>
    <w:qFormat/>
    <w:uiPriority w:val="1"/>
    <w:rPr>
      <w:rFonts w:ascii="方正书宋_GBK" w:hAnsi="方正书宋_GBK" w:eastAsia="方正书宋_GBK" w:cs="方正书宋_GBK"/>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49"/>
    <customShpInfo spid="_x0000_s2050"/>
    <customShpInfo spid="_x0000_s1027"/>
    <customShpInfo spid="_x0000_s1026"/>
    <customShpInfo spid="_x0000_s1029"/>
    <customShpInfo spid="_x0000_s1028"/>
    <customShpInfo spid="_x0000_s1030"/>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4229</Words>
  <Characters>4338</Characters>
  <TotalTime>39</TotalTime>
  <ScaleCrop>false</ScaleCrop>
  <LinksUpToDate>false</LinksUpToDate>
  <CharactersWithSpaces>4621</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2021-12-01T23:29:00Z</dcterms:created>
  <dc:creator>Administrator</dc:creator>
  <cp:lastModifiedBy>孙福街</cp:lastModifiedBy>
  <dcterms:modified xsi:type="dcterms:W3CDTF">2025-06-24T07:59:57Z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2021-12-01T00:00:00Z</vt:filetime>
  </property>
  <property fmtid="{D5CDD505-2E9C-101B-9397-08002B2CF9AE}" pid="3" name="Creator">
    <vt:lpwstr>Adobe InDesign 14.0 (Windows)</vt:lpwstr>
  </property>
  <property fmtid="{D5CDD505-2E9C-101B-9397-08002B2CF9AE}" pid="4" name="LastSaved">
    <vt:filetime>2021-12-01T00:00:00Z</vt:filetime>
  </property>
  <property fmtid="{D5CDD505-2E9C-101B-9397-08002B2CF9AE}" pid="5" name="KSOTemplateDocerSaveRecord">
    <vt:lpwstr>eyJoZGlkIjoiNWM0NTgyZTYyOWY5MDc4Y2QwNjc0NjlhZDMwNWY5MTgiLCJ1c2VySWQiOiIxMDAzNjA2NDA1In0=</vt:lpwstr>
  </property>
  <property fmtid="{D5CDD505-2E9C-101B-9397-08002B2CF9AE}" pid="6" name="KSOProductBuildVer">
    <vt:lpwstr>2052-12.1.0.21541</vt:lpwstr>
  </property>
  <property fmtid="{D5CDD505-2E9C-101B-9397-08002B2CF9AE}" pid="7" name="ICV">
    <vt:lpwstr>2882861068AB4F26971BEBBE5D3DA720_13</vt:lpwstr>
  </property>
</Properties>
</file>