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21422"/>
      <w:bookmarkStart w:id="1" w:name="_Toc32320"/>
      <w:bookmarkStart w:id="2" w:name="_Toc21762"/>
      <w:bookmarkStart w:id="3" w:name="_Toc24454"/>
      <w:bookmarkStart w:id="4" w:name="_Toc15737"/>
      <w:bookmarkStart w:id="5" w:name="_Toc20910"/>
      <w:bookmarkStart w:id="6" w:name="_Toc11918"/>
      <w:bookmarkStart w:id="7" w:name="_Toc20033"/>
      <w:bookmarkStart w:id="8" w:name="_Toc7615"/>
      <w:bookmarkStart w:id="9" w:name="_Toc25712"/>
      <w:bookmarkStart w:id="10" w:name="_Toc24068"/>
      <w:bookmarkStart w:id="11" w:name="_Toc8396"/>
      <w:bookmarkStart w:id="12" w:name="_Toc29002"/>
      <w:bookmarkStart w:id="13" w:name="_Toc13462"/>
      <w:bookmarkStart w:id="14" w:name="_Toc12789"/>
      <w:bookmarkStart w:id="15" w:name="_Toc24727"/>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屯昌县综合执法局罚没矿产资源（660.48m³片石、25.87m³成品沙子、58.32m³花岗岩）出让</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2025-10-15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cs="Times New Roman"/>
          <w:b w:val="0"/>
          <w:bCs w:val="0"/>
          <w:color w:val="auto"/>
          <w:sz w:val="28"/>
          <w:szCs w:val="28"/>
          <w:u w:val="single"/>
          <w:lang w:val="en-US" w:eastAsia="zh-CN"/>
        </w:rPr>
        <w:t xml:space="preserve">屯昌县综合执法局罚没矿产资源（660.48m³片石、25.87m³成品沙子、58.32m³花岗岩）出让 </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24779.7</w:t>
      </w:r>
      <w:r>
        <w:rPr>
          <w:rFonts w:hint="eastAsia" w:ascii="新宋体" w:hAnsi="新宋体" w:eastAsia="新宋体" w:cs="Times New Roman"/>
          <w:color w:val="auto"/>
          <w:sz w:val="28"/>
          <w:szCs w:val="28"/>
          <w:u w:val="none"/>
          <w:lang w:val="en-US" w:eastAsia="zh-CN"/>
        </w:rPr>
        <w:t>元（总价）。</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2025-10-16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屯昌县综合执法局罚没矿产资源（660.48m³片石、25.87m³成品沙子、58.32m³花岗岩）出让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屯昌县综合执法局罚没矿产资源（660.48m³片石、25.87m³成品沙子、58.32m³花岗岩）出让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屯昌县综合执法局罚没矿产资源（660.48m³片石、25.87m³成品沙子、58.32m³花岗岩）出让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屯昌县综合执法局罚没矿产资源（660.48m³片石、25.87m³成品沙子、58.32m³花岗岩）出让</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11532"/>
      <w:bookmarkStart w:id="17" w:name="_Toc13357"/>
      <w:bookmarkStart w:id="18" w:name="_Toc28981"/>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31003"/>
      <w:bookmarkStart w:id="20" w:name="_Toc24611"/>
      <w:bookmarkStart w:id="21" w:name="_Toc7009"/>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30986"/>
      <w:bookmarkStart w:id="23" w:name="_Toc29057"/>
      <w:bookmarkStart w:id="24" w:name="_Toc4535"/>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17490"/>
      <w:bookmarkStart w:id="26" w:name="_Toc9059"/>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14469"/>
      <w:bookmarkStart w:id="28" w:name="_Toc12264"/>
      <w:bookmarkStart w:id="29" w:name="_Toc4580"/>
      <w:bookmarkStart w:id="30" w:name="_Toc29841"/>
      <w:bookmarkStart w:id="31" w:name="_Toc13094"/>
      <w:bookmarkStart w:id="32" w:name="_Toc32101"/>
      <w:bookmarkStart w:id="33" w:name="_Toc11237"/>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u w:val="single"/>
          <w:lang w:val="en-US" w:eastAsia="zh-CN"/>
        </w:rPr>
        <w:t>屯昌县综合执法局罚没矿产资源（660.48m³片石、25.87m³成品沙子、58.32m³花岗岩）出让</w:t>
      </w: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5646C5BB">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rPr>
      </w:pP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屯昌县国有资产事务中心</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屯昌县综合执法局罚没矿产资源（660.48m³片石、25.87m³成品沙子、58.32m³花岗岩）出让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屯昌县综合执法局罚没矿产资源（660.48m³片石、25.87m³成品沙子、58.32m³花岗岩）出让</w:t>
      </w:r>
    </w:p>
    <w:p w14:paraId="61EE8F41">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屯昌县屯城镇三发村第四组股份经济合作社</w:t>
      </w:r>
    </w:p>
    <w:p w14:paraId="0B8E321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出让面积：744.68m³</w:t>
      </w:r>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出让年限：永久</w:t>
      </w:r>
    </w:p>
    <w:p w14:paraId="0D0DDCA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挂网底价：24779.7元</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报名时间：2025-09-30 10:00:00至2025-10-15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2025-10-16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0452AC30">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吴先生18889761120</w:t>
      </w:r>
      <w:bookmarkStart w:id="36" w:name="_GoBack"/>
      <w:bookmarkEnd w:id="36"/>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F6561C-0221-4D2B-B03F-BB1650A2FB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AEA8A6D5-7899-459B-99C4-1B3BC82846EF}"/>
  </w:font>
  <w:font w:name="仿宋_GB2312">
    <w:panose1 w:val="02010609030101010101"/>
    <w:charset w:val="86"/>
    <w:family w:val="modern"/>
    <w:pitch w:val="default"/>
    <w:sig w:usb0="00000001" w:usb1="080E0000" w:usb2="00000000" w:usb3="00000000" w:csb0="00040000" w:csb1="00000000"/>
    <w:embedRegular r:id="rId3" w:fontKey="{6CCDB5AA-0DBB-4662-B664-D851322F9F52}"/>
  </w:font>
  <w:font w:name="方正小标宋简体">
    <w:panose1 w:val="02000000000000000000"/>
    <w:charset w:val="86"/>
    <w:family w:val="auto"/>
    <w:pitch w:val="default"/>
    <w:sig w:usb0="00000001" w:usb1="08000000" w:usb2="00000000" w:usb3="00000000" w:csb0="00040000" w:csb1="00000000"/>
    <w:embedRegular r:id="rId4" w:fontKey="{500F9AD1-5FDC-4BC7-BE40-E5EF9D62DA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D9446E4"/>
    <w:rsid w:val="3EE84C2D"/>
    <w:rsid w:val="3F171CEB"/>
    <w:rsid w:val="3F595A04"/>
    <w:rsid w:val="43315BEC"/>
    <w:rsid w:val="433672AA"/>
    <w:rsid w:val="43AD1C7C"/>
    <w:rsid w:val="43CA2EA3"/>
    <w:rsid w:val="43E145E7"/>
    <w:rsid w:val="44912C24"/>
    <w:rsid w:val="47C03328"/>
    <w:rsid w:val="48601C27"/>
    <w:rsid w:val="4C122427"/>
    <w:rsid w:val="4D440E1C"/>
    <w:rsid w:val="4DC33073"/>
    <w:rsid w:val="4E3F7559"/>
    <w:rsid w:val="4ECE0172"/>
    <w:rsid w:val="51516E47"/>
    <w:rsid w:val="51A46EB2"/>
    <w:rsid w:val="52531DCC"/>
    <w:rsid w:val="52E5627D"/>
    <w:rsid w:val="56073B1A"/>
    <w:rsid w:val="5CF93C67"/>
    <w:rsid w:val="5E084751"/>
    <w:rsid w:val="6180235A"/>
    <w:rsid w:val="61A86601"/>
    <w:rsid w:val="62AC763E"/>
    <w:rsid w:val="64515E2E"/>
    <w:rsid w:val="64D61FAB"/>
    <w:rsid w:val="66C801A8"/>
    <w:rsid w:val="67281D31"/>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6466</Words>
  <Characters>6919</Characters>
  <Lines>59</Lines>
  <Paragraphs>16</Paragraphs>
  <TotalTime>116</TotalTime>
  <ScaleCrop>false</ScaleCrop>
  <LinksUpToDate>false</LinksUpToDate>
  <CharactersWithSpaces>7493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叫醒耳朵</cp:lastModifiedBy>
  <cp:lastPrinted>2025-08-15T02:40:00Z</cp:lastPrinted>
  <dcterms:modified xsi:type="dcterms:W3CDTF">2025-09-29T09:45:45Z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C21C3C7D5E08498AA747244B84DF4299_13</vt:lpwstr>
  </property>
  <property fmtid="{D5CDD505-2E9C-101B-9397-08002B2CF9AE}" pid="4" name="KSOTemplateDocerSaveRecord">
    <vt:lpwstr>eyJoZGlkIjoiMTlkZDU4ZTU5ZWQ4Zjk0OTJiMzg5OTZkYzE3YjZiMTMiLCJ1c2VySWQiOiI5ODE2OTMzOTYifQ==</vt:lpwstr>
  </property>
</Properties>
</file>