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15737"/>
      <w:bookmarkStart w:id="1" w:name="_Toc21762"/>
      <w:bookmarkStart w:id="2" w:name="_Toc11918"/>
      <w:bookmarkStart w:id="3" w:name="_Toc24454"/>
      <w:bookmarkStart w:id="4" w:name="_Toc21422"/>
      <w:bookmarkStart w:id="5" w:name="_Toc32320"/>
      <w:bookmarkStart w:id="6" w:name="_Toc20910"/>
      <w:bookmarkStart w:id="7" w:name="_Toc8396"/>
      <w:bookmarkStart w:id="8" w:name="_Toc20033"/>
      <w:bookmarkStart w:id="9" w:name="_Toc24727"/>
      <w:bookmarkStart w:id="10" w:name="_Toc13462"/>
      <w:bookmarkStart w:id="11" w:name="_Toc29002"/>
      <w:bookmarkStart w:id="12" w:name="_Toc24068"/>
      <w:bookmarkStart w:id="13" w:name="_Toc7615"/>
      <w:bookmarkStart w:id="14" w:name="_Toc12789"/>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琼海市建筑垃圾处理项目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21260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琼海市建筑垃圾处理项目</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琼海市建筑垃圾处理项目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琼海市建筑垃圾处理项目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海南省琼海市建筑垃圾处理项目交易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琼海市塔洋镇红花村股份经济合作联合社</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琼海市建筑垃圾处理项目</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5D451F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标的名称：琼海市建筑垃圾处理项目</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琼海市塔洋镇红花村股份经济合作联合社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50亩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21260元/年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22000元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租金五年一付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18789047933</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65041625">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海南润严蔡新材料有限公司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蔡圣志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琼海市建筑垃圾处理项目</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29841"/>
      <w:bookmarkStart w:id="28" w:name="_Toc14469"/>
      <w:bookmarkStart w:id="29" w:name="_Toc13094"/>
      <w:bookmarkStart w:id="30" w:name="_Toc4580"/>
      <w:bookmarkStart w:id="31" w:name="_Toc12264"/>
      <w:bookmarkStart w:id="32" w:name="_Toc11237"/>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spacing w:line="360" w:lineRule="auto"/>
              <w:jc w:val="center"/>
            </w:pPr>
            <w:r>
              <w:rPr>
                <w:rFonts w:hint="eastAsia" w:ascii="宋体" w:hAnsi="宋体" w:eastAsia="宋体"/>
                <w:sz w:val="22"/>
                <w:lang w:val="en-US" w:eastAsia="zh-CN"/>
              </w:rPr>
              <w:t>海南润严蔡新材料有限公司</w:t>
            </w: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jc w:val="center"/>
              <w:rPr>
                <w:rFonts w:ascii="宋体" w:hAnsi="宋体" w:eastAsia="宋体"/>
                <w:sz w:val="22"/>
              </w:rPr>
            </w:pPr>
            <w:r>
              <w:rPr>
                <w:rFonts w:hint="eastAsia" w:ascii="宋体" w:hAnsi="宋体" w:eastAsia="宋体"/>
                <w:sz w:val="22"/>
                <w:lang w:val="en-US" w:eastAsia="zh-CN"/>
              </w:rPr>
              <w:t>蔡朝霞</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hint="default" w:ascii="宋体" w:hAnsi="宋体" w:eastAsia="宋体"/>
                <w:sz w:val="22"/>
                <w:lang w:val="en-US" w:eastAsia="zh-CN"/>
              </w:rPr>
            </w:pPr>
            <w:r>
              <w:rPr>
                <w:rFonts w:hint="eastAsia" w:ascii="宋体" w:hAnsi="宋体" w:eastAsia="宋体"/>
                <w:sz w:val="22"/>
                <w:lang w:val="en-US" w:eastAsia="zh-CN"/>
              </w:rPr>
              <w:t>13111911172</w:t>
            </w: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r>
              <w:rPr>
                <w:rFonts w:hint="eastAsia" w:ascii="宋体" w:hAnsi="宋体" w:eastAsia="宋体"/>
                <w:sz w:val="22"/>
              </w:rPr>
              <w:t>海南省海口市龙华区义龙路南希花苑13号铺面</w:t>
            </w: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r>
              <w:rPr>
                <w:rFonts w:hint="eastAsia" w:ascii="宋体" w:hAnsi="宋体" w:eastAsia="宋体"/>
                <w:sz w:val="22"/>
              </w:rPr>
              <w:t>2021年03月26日</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r>
              <w:rPr>
                <w:rFonts w:hint="eastAsia" w:ascii="宋体" w:hAnsi="宋体" w:eastAsia="宋体"/>
                <w:sz w:val="22"/>
              </w:rPr>
              <w:t>玖佰陆拾捌万圆整</w:t>
            </w: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r>
              <w:rPr>
                <w:rFonts w:hint="eastAsia" w:ascii="宋体" w:hAnsi="宋体" w:eastAsia="宋体"/>
                <w:sz w:val="22"/>
              </w:rPr>
              <w:t>有限责任公司(自然人投资或控股)</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jc w:val="center"/>
              <w:rPr>
                <w:rFonts w:ascii="宋体" w:hAnsi="宋体" w:eastAsia="宋体"/>
                <w:sz w:val="22"/>
              </w:rPr>
            </w:pPr>
            <w:r>
              <w:rPr>
                <w:rFonts w:hint="eastAsia" w:ascii="宋体" w:hAnsi="宋体" w:eastAsia="宋体"/>
                <w:sz w:val="22"/>
                <w:lang w:val="en-US" w:eastAsia="zh-CN"/>
              </w:rPr>
              <w:t>蔡圣志</w:t>
            </w: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bookmarkStart w:id="35" w:name="_GoBack"/>
            <w:bookmarkEnd w:id="35"/>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1F8D3861"/>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1D7B1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6664</Words>
  <Characters>7080</Characters>
  <Lines>59</Lines>
  <Paragraphs>16</Paragraphs>
  <TotalTime>2</TotalTime>
  <ScaleCrop>false</ScaleCrop>
  <LinksUpToDate>false</LinksUpToDate>
  <CharactersWithSpaces>7576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2025-10-14T03:22:22Z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