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122E57">
      <w:pPr>
        <w:pStyle w:val="2"/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pacing w:before="156" w:beforeLines="50" w:beforeAutospacing="0" w:after="624" w:afterLines="200" w:afterAutospacing="0" w:line="500" w:lineRule="exact"/>
        <w:ind w:firstLine="0" w:firstLineChars="0"/>
        <w:jc w:val="center"/>
        <w:rPr>
          <w:rFonts w:hint="default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ascii="方正小标宋_GBK" w:hAnsi="方正小标宋_GBK" w:eastAsia="方正小标宋_GBK" w:cs="方正小标宋_GBK"/>
          <w:sz w:val="44"/>
          <w:szCs w:val="44"/>
          <w:highlight w:val="none"/>
        </w:rPr>
        <w:t>“东方特色加工厂”承包经营协议</w:t>
      </w:r>
    </w:p>
    <w:p w14:paraId="6774F3D6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pacing w:line="500" w:lineRule="exact"/>
        <w:ind w:firstLine="0" w:firstLineChars="0"/>
        <w:jc w:val="left"/>
        <w:rPr>
          <w:rFonts w:ascii="仿宋_GB2312" w:hAnsi="仿宋_GB2312" w:eastAsia="仿宋_GB2312" w:cs="仿宋_GB2312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highlight w:val="none"/>
          <w:lang w:bidi="ar"/>
        </w:rPr>
        <w:t>甲方：</w:t>
      </w:r>
    </w:p>
    <w:p w14:paraId="305FF73F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pacing w:after="312" w:afterLines="100" w:line="500" w:lineRule="exact"/>
        <w:ind w:firstLine="0" w:firstLineChars="0"/>
        <w:jc w:val="left"/>
        <w:rPr>
          <w:rFonts w:ascii="仿宋_GB2312" w:hAnsi="仿宋_GB2312" w:eastAsia="仿宋_GB2312" w:cs="仿宋_GB2312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highlight w:val="none"/>
          <w:lang w:bidi="ar"/>
        </w:rPr>
        <w:t>乙方：</w:t>
      </w:r>
    </w:p>
    <w:p w14:paraId="210AEBAB">
      <w:pPr>
        <w:pStyle w:val="3"/>
        <w:keepNext w:val="0"/>
        <w:keepLines w:val="0"/>
        <w:pageBreakBefore w:val="0"/>
        <w:widowControl/>
        <w:tabs>
          <w:tab w:val="left" w:pos="571"/>
        </w:tabs>
        <w:kinsoku/>
        <w:wordWrap/>
        <w:overflowPunct/>
        <w:topLinePunct/>
        <w:autoSpaceDE/>
        <w:autoSpaceDN/>
        <w:bidi w:val="0"/>
        <w:adjustRightInd w:val="0"/>
        <w:spacing w:line="500" w:lineRule="exact"/>
        <w:ind w:firstLine="640"/>
        <w:rPr>
          <w:rFonts w:ascii="黑体" w:hAnsi="黑体" w:eastAsia="黑体" w:cs="黑体"/>
          <w:highlight w:val="none"/>
        </w:rPr>
      </w:pPr>
      <w:r>
        <w:rPr>
          <w:rFonts w:hint="eastAsia" w:ascii="黑体" w:hAnsi="黑体" w:eastAsia="黑体" w:cs="黑体"/>
          <w:highlight w:val="none"/>
        </w:rPr>
        <w:t>一、</w:t>
      </w:r>
      <w:r>
        <w:rPr>
          <w:rFonts w:hint="eastAsia" w:ascii="黑体" w:hAnsi="黑体" w:eastAsia="黑体" w:cs="黑体"/>
          <w:highlight w:val="none"/>
          <w:lang w:eastAsia="zh-CN"/>
        </w:rPr>
        <w:t>承包</w:t>
      </w:r>
      <w:r>
        <w:rPr>
          <w:rFonts w:hint="eastAsia" w:ascii="黑体" w:hAnsi="黑体" w:eastAsia="黑体" w:cs="黑体"/>
          <w:highlight w:val="none"/>
        </w:rPr>
        <w:t>背景与目的</w:t>
      </w:r>
    </w:p>
    <w:p w14:paraId="0D4A07E7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pacing w:line="500" w:lineRule="exact"/>
        <w:ind w:firstLine="640"/>
        <w:jc w:val="left"/>
        <w:rPr>
          <w:rFonts w:ascii="仿宋_GB2312" w:hAnsi="仿宋_GB2312" w:eastAsia="仿宋_GB2312" w:cs="仿宋_GB2312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highlight w:val="none"/>
          <w:lang w:bidi="ar"/>
        </w:rPr>
        <w:t>为充分发挥甲乙双方的资源优势，实现互利共赢，甲方同意将其名下“东方特色加工厂”（以下简称“加工厂”）承包给乙方运营管理，乙方愿意按照本协议约定承接加工厂的全权运营管理工作，双方本着平等自愿、公平诚信的原则，经友好协商，达成如下协议。</w:t>
      </w:r>
    </w:p>
    <w:p w14:paraId="7F90085B">
      <w:pPr>
        <w:pStyle w:val="3"/>
        <w:keepNext w:val="0"/>
        <w:keepLines w:val="0"/>
        <w:pageBreakBefore w:val="0"/>
        <w:widowControl/>
        <w:tabs>
          <w:tab w:val="left" w:pos="571"/>
        </w:tabs>
        <w:kinsoku/>
        <w:wordWrap/>
        <w:overflowPunct/>
        <w:topLinePunct/>
        <w:autoSpaceDE/>
        <w:autoSpaceDN/>
        <w:bidi w:val="0"/>
        <w:adjustRightInd w:val="0"/>
        <w:spacing w:line="500" w:lineRule="exact"/>
        <w:ind w:firstLine="640"/>
        <w:rPr>
          <w:rFonts w:ascii="黑体" w:hAnsi="黑体" w:eastAsia="黑体" w:cs="黑体"/>
          <w:highlight w:val="none"/>
        </w:rPr>
      </w:pPr>
      <w:r>
        <w:rPr>
          <w:rFonts w:hint="eastAsia" w:ascii="黑体" w:hAnsi="黑体" w:eastAsia="黑体" w:cs="黑体"/>
          <w:highlight w:val="none"/>
        </w:rPr>
        <w:t>二、</w:t>
      </w:r>
      <w:r>
        <w:rPr>
          <w:rFonts w:hint="eastAsia" w:ascii="黑体" w:hAnsi="黑体" w:eastAsia="黑体" w:cs="黑体"/>
          <w:highlight w:val="none"/>
          <w:lang w:eastAsia="zh-CN"/>
        </w:rPr>
        <w:t>承包</w:t>
      </w:r>
      <w:r>
        <w:rPr>
          <w:rFonts w:hint="eastAsia" w:ascii="黑体" w:hAnsi="黑体" w:eastAsia="黑体" w:cs="黑体"/>
          <w:highlight w:val="none"/>
        </w:rPr>
        <w:t>内容</w:t>
      </w:r>
    </w:p>
    <w:p w14:paraId="6849DE1E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pacing w:line="500" w:lineRule="exact"/>
        <w:ind w:firstLine="643"/>
        <w:jc w:val="left"/>
        <w:rPr>
          <w:rFonts w:ascii="楷体" w:hAnsi="楷体" w:eastAsia="楷体" w:cs="楷体"/>
          <w:b/>
          <w:bCs/>
          <w:kern w:val="0"/>
          <w:highlight w:val="none"/>
          <w:lang w:bidi="ar"/>
        </w:rPr>
      </w:pPr>
      <w:r>
        <w:rPr>
          <w:rFonts w:hint="eastAsia" w:ascii="楷体" w:hAnsi="楷体" w:eastAsia="楷体" w:cs="楷体"/>
          <w:b/>
          <w:bCs/>
          <w:kern w:val="0"/>
          <w:highlight w:val="none"/>
          <w:lang w:bidi="ar"/>
        </w:rPr>
        <w:t>（一）</w:t>
      </w:r>
      <w:r>
        <w:rPr>
          <w:rFonts w:hint="eastAsia" w:ascii="楷体" w:hAnsi="楷体" w:eastAsia="楷体" w:cs="楷体"/>
          <w:b/>
          <w:bCs/>
          <w:kern w:val="0"/>
          <w:highlight w:val="none"/>
          <w:lang w:eastAsia="zh-CN" w:bidi="ar"/>
        </w:rPr>
        <w:t>承包</w:t>
      </w:r>
      <w:r>
        <w:rPr>
          <w:rFonts w:hint="eastAsia" w:ascii="楷体" w:hAnsi="楷体" w:eastAsia="楷体" w:cs="楷体"/>
          <w:b/>
          <w:bCs/>
          <w:kern w:val="0"/>
          <w:highlight w:val="none"/>
          <w:lang w:bidi="ar"/>
        </w:rPr>
        <w:t>标的</w:t>
      </w:r>
    </w:p>
    <w:p w14:paraId="24EC77F9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pacing w:line="500" w:lineRule="exact"/>
        <w:ind w:firstLine="640"/>
        <w:jc w:val="left"/>
        <w:rPr>
          <w:rFonts w:ascii="仿宋_GB2312" w:hAnsi="仿宋_GB2312" w:eastAsia="仿宋_GB2312" w:cs="仿宋_GB2312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highlight w:val="none"/>
          <w:lang w:bidi="ar"/>
        </w:rPr>
        <w:t>甲方将位于海南省东方市感恩南路的“东方特色加工厂</w:t>
      </w:r>
      <w:r>
        <w:rPr>
          <w:rFonts w:hint="eastAsia" w:ascii="仿宋_GB2312" w:hAnsi="仿宋_GB2312" w:eastAsia="仿宋_GB2312" w:cs="仿宋_GB2312"/>
          <w:kern w:val="0"/>
          <w:highlight w:val="none"/>
          <w:lang w:val="en-US" w:eastAsia="zh-CN" w:bidi="ar"/>
        </w:rPr>
        <w:t>763.61㎡厂房</w:t>
      </w:r>
      <w:r>
        <w:rPr>
          <w:rFonts w:hint="eastAsia" w:ascii="仿宋_GB2312" w:hAnsi="仿宋_GB2312" w:eastAsia="仿宋_GB2312" w:cs="仿宋_GB2312"/>
          <w:kern w:val="0"/>
          <w:highlight w:val="none"/>
          <w:lang w:bidi="ar"/>
        </w:rPr>
        <w:t>”承包给乙方，包括加工厂内现有全部生产设施设备（详细清单见附件一）。</w:t>
      </w:r>
    </w:p>
    <w:p w14:paraId="795D3EA6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pacing w:line="500" w:lineRule="exact"/>
        <w:ind w:firstLine="643"/>
        <w:jc w:val="left"/>
        <w:rPr>
          <w:rFonts w:hint="eastAsia" w:ascii="楷体" w:hAnsi="楷体" w:eastAsia="楷体" w:cs="楷体"/>
          <w:b/>
          <w:bCs/>
          <w:kern w:val="0"/>
          <w:highlight w:val="none"/>
          <w:lang w:bidi="ar"/>
        </w:rPr>
      </w:pPr>
      <w:r>
        <w:rPr>
          <w:rFonts w:hint="eastAsia" w:ascii="楷体" w:hAnsi="楷体" w:eastAsia="楷体" w:cs="楷体"/>
          <w:b/>
          <w:bCs/>
          <w:kern w:val="0"/>
          <w:highlight w:val="none"/>
          <w:lang w:bidi="ar"/>
        </w:rPr>
        <w:t>（二）</w:t>
      </w:r>
      <w:r>
        <w:rPr>
          <w:rFonts w:hint="eastAsia" w:ascii="楷体" w:hAnsi="楷体" w:eastAsia="楷体" w:cs="楷体"/>
          <w:b/>
          <w:bCs/>
          <w:kern w:val="0"/>
          <w:highlight w:val="none"/>
          <w:lang w:eastAsia="zh-CN" w:bidi="ar"/>
        </w:rPr>
        <w:t>承包</w:t>
      </w:r>
      <w:r>
        <w:rPr>
          <w:rFonts w:hint="eastAsia" w:ascii="楷体" w:hAnsi="楷体" w:eastAsia="楷体" w:cs="楷体"/>
          <w:b/>
          <w:bCs/>
          <w:kern w:val="0"/>
          <w:highlight w:val="none"/>
          <w:lang w:bidi="ar"/>
        </w:rPr>
        <w:t>期限</w:t>
      </w:r>
    </w:p>
    <w:p w14:paraId="5DB72492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pacing w:line="500" w:lineRule="exact"/>
        <w:ind w:firstLine="640"/>
        <w:jc w:val="left"/>
        <w:rPr>
          <w:rFonts w:hint="eastAsia" w:ascii="仿宋_GB2312" w:hAnsi="仿宋_GB2312" w:eastAsia="仿宋_GB2312" w:cs="仿宋_GB2312"/>
          <w:kern w:val="0"/>
          <w:highlight w:val="none"/>
          <w:lang w:eastAsia="zh-CN" w:bidi="ar"/>
        </w:rPr>
      </w:pPr>
      <w:r>
        <w:rPr>
          <w:rFonts w:hint="eastAsia" w:ascii="仿宋_GB2312" w:hAnsi="仿宋_GB2312" w:eastAsia="仿宋_GB2312" w:cs="仿宋_GB2312"/>
          <w:kern w:val="0"/>
          <w:highlight w:val="none"/>
          <w:lang w:bidi="ar"/>
        </w:rPr>
        <w:t>1.本项目</w:t>
      </w:r>
      <w:r>
        <w:rPr>
          <w:rFonts w:hint="eastAsia" w:ascii="仿宋_GB2312" w:hAnsi="仿宋_GB2312" w:eastAsia="仿宋_GB2312" w:cs="仿宋_GB2312"/>
          <w:kern w:val="0"/>
          <w:highlight w:val="none"/>
          <w:lang w:val="en-US" w:eastAsia="zh-CN" w:bidi="ar"/>
        </w:rPr>
        <w:t>承包</w:t>
      </w:r>
      <w:r>
        <w:rPr>
          <w:rFonts w:hint="eastAsia" w:ascii="仿宋_GB2312" w:hAnsi="仿宋_GB2312" w:eastAsia="仿宋_GB2312" w:cs="仿宋_GB2312"/>
          <w:kern w:val="0"/>
          <w:highlight w:val="none"/>
          <w:lang w:bidi="ar"/>
        </w:rPr>
        <w:t>经营期共五年，第一期为三年项目经营培育孵化期，第二期为两年运营期，本</w:t>
      </w:r>
      <w:r>
        <w:rPr>
          <w:rFonts w:hint="eastAsia" w:ascii="仿宋_GB2312" w:hAnsi="仿宋_GB2312" w:eastAsia="仿宋_GB2312" w:cs="仿宋_GB2312"/>
          <w:kern w:val="0"/>
          <w:highlight w:val="none"/>
          <w:lang w:eastAsia="zh-CN" w:bidi="ar"/>
        </w:rPr>
        <w:t>协议约定的承包经营期限</w:t>
      </w:r>
      <w:r>
        <w:rPr>
          <w:rFonts w:hint="eastAsia" w:ascii="仿宋_GB2312" w:hAnsi="仿宋_GB2312" w:eastAsia="仿宋_GB2312" w:cs="仿宋_GB2312"/>
          <w:kern w:val="0"/>
          <w:highlight w:val="none"/>
          <w:lang w:bidi="ar"/>
        </w:rPr>
        <w:t>仅为第一期</w:t>
      </w:r>
      <w:r>
        <w:rPr>
          <w:rFonts w:hint="eastAsia" w:ascii="仿宋_GB2312" w:hAnsi="仿宋_GB2312" w:eastAsia="仿宋_GB2312" w:cs="仿宋_GB2312"/>
          <w:kern w:val="0"/>
          <w:highlight w:val="none"/>
          <w:lang w:eastAsia="zh-CN" w:bidi="ar"/>
        </w:rPr>
        <w:t>，</w:t>
      </w:r>
      <w:r>
        <w:rPr>
          <w:rFonts w:hint="eastAsia" w:ascii="仿宋_GB2312" w:hAnsi="仿宋_GB2312" w:eastAsia="仿宋_GB2312" w:cs="仿宋_GB2312"/>
          <w:kern w:val="0"/>
          <w:highlight w:val="none"/>
          <w:lang w:bidi="ar"/>
        </w:rPr>
        <w:t>自202</w:t>
      </w:r>
      <w:r>
        <w:rPr>
          <w:rFonts w:hint="eastAsia" w:ascii="仿宋_GB2312" w:hAnsi="仿宋_GB2312" w:eastAsia="仿宋_GB2312" w:cs="仿宋_GB2312"/>
          <w:kern w:val="0"/>
          <w:highlight w:val="none"/>
          <w:lang w:val="en-US" w:eastAsia="zh-CN" w:bidi="ar"/>
        </w:rPr>
        <w:t>5</w:t>
      </w:r>
      <w:r>
        <w:rPr>
          <w:rFonts w:hint="eastAsia" w:ascii="仿宋_GB2312" w:hAnsi="仿宋_GB2312" w:eastAsia="仿宋_GB2312" w:cs="仿宋_GB2312"/>
          <w:kern w:val="0"/>
          <w:highlight w:val="none"/>
          <w:lang w:bidi="ar"/>
        </w:rPr>
        <w:t>年</w:t>
      </w:r>
      <w:r>
        <w:rPr>
          <w:rFonts w:hint="eastAsia" w:ascii="仿宋_GB2312" w:hAnsi="仿宋_GB2312" w:eastAsia="仿宋_GB2312" w:cs="仿宋_GB2312"/>
          <w:kern w:val="0"/>
          <w:highlight w:val="none"/>
          <w:u w:val="single"/>
          <w:lang w:val="en-US" w:eastAsia="zh-CN" w:bidi="ar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highlight w:val="none"/>
          <w:lang w:bidi="ar"/>
        </w:rPr>
        <w:t>月</w:t>
      </w:r>
      <w:r>
        <w:rPr>
          <w:rFonts w:hint="eastAsia" w:ascii="仿宋_GB2312" w:hAnsi="仿宋_GB2312" w:eastAsia="仿宋_GB2312" w:cs="仿宋_GB2312"/>
          <w:kern w:val="0"/>
          <w:highlight w:val="none"/>
          <w:u w:val="single"/>
          <w:lang w:val="en-US" w:eastAsia="zh-CN" w:bidi="ar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highlight w:val="none"/>
          <w:lang w:bidi="ar"/>
        </w:rPr>
        <w:t>日起至20</w:t>
      </w:r>
      <w:r>
        <w:rPr>
          <w:rFonts w:hint="eastAsia" w:ascii="仿宋_GB2312" w:hAnsi="仿宋_GB2312" w:eastAsia="仿宋_GB2312" w:cs="仿宋_GB2312"/>
          <w:kern w:val="0"/>
          <w:highlight w:val="none"/>
          <w:lang w:val="en-US" w:eastAsia="zh-CN" w:bidi="ar"/>
        </w:rPr>
        <w:t>28</w:t>
      </w:r>
      <w:r>
        <w:rPr>
          <w:rFonts w:hint="eastAsia" w:ascii="仿宋_GB2312" w:hAnsi="仿宋_GB2312" w:eastAsia="仿宋_GB2312" w:cs="仿宋_GB2312"/>
          <w:kern w:val="0"/>
          <w:highlight w:val="none"/>
          <w:lang w:bidi="ar"/>
        </w:rPr>
        <w:t>年</w:t>
      </w:r>
      <w:r>
        <w:rPr>
          <w:rFonts w:hint="eastAsia" w:ascii="仿宋_GB2312" w:hAnsi="仿宋_GB2312" w:eastAsia="仿宋_GB2312" w:cs="仿宋_GB2312"/>
          <w:kern w:val="0"/>
          <w:highlight w:val="none"/>
          <w:u w:val="single"/>
          <w:lang w:val="en-US" w:eastAsia="zh-CN" w:bidi="ar"/>
        </w:rPr>
        <w:t xml:space="preserve">   </w:t>
      </w:r>
      <w:r>
        <w:rPr>
          <w:rFonts w:hint="eastAsia" w:ascii="仿宋_GB2312" w:hAnsi="仿宋_GB2312" w:eastAsia="仿宋_GB2312" w:cs="仿宋_GB2312"/>
          <w:kern w:val="0"/>
          <w:highlight w:val="none"/>
          <w:lang w:bidi="ar"/>
        </w:rPr>
        <w:t>月</w:t>
      </w:r>
      <w:r>
        <w:rPr>
          <w:rFonts w:hint="eastAsia" w:ascii="仿宋_GB2312" w:hAnsi="仿宋_GB2312" w:eastAsia="仿宋_GB2312" w:cs="仿宋_GB2312"/>
          <w:kern w:val="0"/>
          <w:highlight w:val="none"/>
          <w:u w:val="single"/>
          <w:lang w:val="en-US" w:eastAsia="zh-CN" w:bidi="ar"/>
        </w:rPr>
        <w:t xml:space="preserve">   </w:t>
      </w:r>
      <w:r>
        <w:rPr>
          <w:rFonts w:hint="eastAsia" w:ascii="仿宋_GB2312" w:hAnsi="仿宋_GB2312" w:eastAsia="仿宋_GB2312" w:cs="仿宋_GB2312"/>
          <w:kern w:val="0"/>
          <w:highlight w:val="none"/>
          <w:lang w:bidi="ar"/>
        </w:rPr>
        <w:t>日</w:t>
      </w:r>
      <w:r>
        <w:rPr>
          <w:rFonts w:hint="eastAsia" w:ascii="仿宋_GB2312" w:hAnsi="仿宋_GB2312" w:eastAsia="仿宋_GB2312" w:cs="仿宋_GB2312"/>
          <w:kern w:val="0"/>
          <w:highlight w:val="none"/>
          <w:lang w:eastAsia="zh-CN" w:bidi="ar"/>
        </w:rPr>
        <w:t>止。</w:t>
      </w:r>
    </w:p>
    <w:p w14:paraId="2FEEAA7C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pacing w:line="500" w:lineRule="exact"/>
        <w:ind w:firstLine="640"/>
        <w:jc w:val="left"/>
        <w:rPr>
          <w:rFonts w:hint="eastAsia" w:ascii="仿宋_GB2312" w:hAnsi="仿宋_GB2312" w:eastAsia="仿宋_GB2312" w:cs="仿宋_GB2312"/>
          <w:kern w:val="0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highlight w:val="none"/>
          <w:lang w:bidi="ar"/>
        </w:rPr>
        <w:t>2.在经营管理第一期期间，甲方按照</w:t>
      </w:r>
      <w:r>
        <w:rPr>
          <w:rFonts w:hint="eastAsia" w:ascii="仿宋_GB2312" w:hAnsi="仿宋_GB2312" w:eastAsia="仿宋_GB2312" w:cs="仿宋_GB2312"/>
          <w:kern w:val="0"/>
          <w:highlight w:val="none"/>
          <w:lang w:eastAsia="zh-CN" w:bidi="ar"/>
        </w:rPr>
        <w:t>甲方制定的</w:t>
      </w:r>
      <w:r>
        <w:rPr>
          <w:rFonts w:hint="eastAsia" w:ascii="仿宋_GB2312" w:hAnsi="仿宋_GB2312" w:eastAsia="仿宋_GB2312" w:cs="仿宋_GB2312"/>
          <w:kern w:val="0"/>
          <w:highlight w:val="none"/>
          <w:lang w:bidi="ar"/>
        </w:rPr>
        <w:t>评估办法对乙方在三年孵化期内的</w:t>
      </w:r>
      <w:r>
        <w:rPr>
          <w:rFonts w:hint="eastAsia" w:ascii="仿宋_GB2312" w:hAnsi="仿宋_GB2312" w:eastAsia="仿宋_GB2312" w:cs="仿宋_GB2312"/>
          <w:kern w:val="0"/>
          <w:highlight w:val="none"/>
          <w:lang w:eastAsia="zh-CN" w:bidi="ar"/>
        </w:rPr>
        <w:t>承包</w:t>
      </w:r>
      <w:r>
        <w:rPr>
          <w:rFonts w:hint="eastAsia" w:ascii="仿宋_GB2312" w:hAnsi="仿宋_GB2312" w:eastAsia="仿宋_GB2312" w:cs="仿宋_GB2312"/>
          <w:kern w:val="0"/>
          <w:highlight w:val="none"/>
          <w:lang w:bidi="ar"/>
        </w:rPr>
        <w:t>经营管理效果进行评估</w:t>
      </w:r>
      <w:r>
        <w:rPr>
          <w:rFonts w:hint="eastAsia" w:ascii="仿宋_GB2312" w:hAnsi="仿宋_GB2312" w:eastAsia="仿宋_GB2312" w:cs="仿宋_GB2312"/>
          <w:kern w:val="0"/>
          <w:highlight w:val="none"/>
          <w:lang w:eastAsia="zh-CN" w:bidi="ar"/>
        </w:rPr>
        <w:t>（</w:t>
      </w:r>
      <w:r>
        <w:rPr>
          <w:rFonts w:hint="eastAsia" w:ascii="仿宋_GB2312" w:hAnsi="仿宋_GB2312" w:eastAsia="仿宋_GB2312" w:cs="仿宋_GB2312"/>
          <w:kern w:val="0"/>
          <w:highlight w:val="none"/>
          <w:lang w:val="en-US" w:eastAsia="zh-CN" w:bidi="ar"/>
        </w:rPr>
        <w:t>评估办法作为本合同的附件，合同签订后不得随</w:t>
      </w:r>
      <w:r>
        <w:rPr>
          <w:rFonts w:hint="eastAsia" w:ascii="仿宋_GB2312" w:hAnsi="仿宋_GB2312" w:eastAsia="仿宋_GB2312" w:cs="仿宋_GB2312"/>
          <w:color w:val="auto"/>
          <w:kern w:val="0"/>
          <w:highlight w:val="none"/>
          <w:lang w:val="en-US" w:eastAsia="zh-CN" w:bidi="ar"/>
        </w:rPr>
        <w:t>意变动，如有变动必须有甲方的书面同意方对乙方生效</w:t>
      </w:r>
      <w:r>
        <w:rPr>
          <w:rFonts w:hint="eastAsia" w:ascii="仿宋_GB2312" w:hAnsi="仿宋_GB2312" w:eastAsia="仿宋_GB2312" w:cs="仿宋_GB2312"/>
          <w:color w:val="auto"/>
          <w:kern w:val="0"/>
          <w:highlight w:val="none"/>
          <w:lang w:eastAsia="zh-CN" w:bidi="ar"/>
        </w:rPr>
        <w:t>）</w:t>
      </w:r>
      <w:r>
        <w:rPr>
          <w:rFonts w:hint="eastAsia" w:ascii="仿宋_GB2312" w:hAnsi="仿宋_GB2312" w:eastAsia="仿宋_GB2312" w:cs="仿宋_GB2312"/>
          <w:kern w:val="0"/>
          <w:highlight w:val="none"/>
          <w:lang w:bidi="ar"/>
        </w:rPr>
        <w:t>，若评估合格且甲方决定续约的，在第一期结束后，乙方在同等条件下享有第二期两年</w:t>
      </w:r>
      <w:r>
        <w:rPr>
          <w:rFonts w:hint="eastAsia" w:ascii="仿宋_GB2312" w:hAnsi="仿宋_GB2312" w:eastAsia="仿宋_GB2312" w:cs="仿宋_GB2312"/>
          <w:kern w:val="0"/>
          <w:highlight w:val="none"/>
          <w:lang w:eastAsia="zh-CN" w:bidi="ar"/>
        </w:rPr>
        <w:t>承包</w:t>
      </w:r>
      <w:r>
        <w:rPr>
          <w:rFonts w:hint="eastAsia" w:ascii="仿宋_GB2312" w:hAnsi="仿宋_GB2312" w:eastAsia="仿宋_GB2312" w:cs="仿宋_GB2312"/>
          <w:kern w:val="0"/>
          <w:highlight w:val="none"/>
          <w:lang w:bidi="ar"/>
        </w:rPr>
        <w:t>管理期限的优先续约权。</w:t>
      </w:r>
    </w:p>
    <w:p w14:paraId="4886BD09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pacing w:line="500" w:lineRule="exact"/>
        <w:ind w:firstLine="643"/>
        <w:jc w:val="left"/>
        <w:rPr>
          <w:rFonts w:ascii="楷体" w:hAnsi="楷体" w:eastAsia="楷体" w:cs="楷体"/>
          <w:b/>
          <w:bCs/>
          <w:kern w:val="0"/>
          <w:highlight w:val="none"/>
          <w:lang w:bidi="ar"/>
        </w:rPr>
      </w:pPr>
      <w:r>
        <w:rPr>
          <w:rFonts w:hint="eastAsia" w:ascii="楷体" w:hAnsi="楷体" w:eastAsia="楷体" w:cs="楷体"/>
          <w:b/>
          <w:bCs/>
          <w:kern w:val="0"/>
          <w:highlight w:val="none"/>
          <w:lang w:bidi="ar"/>
        </w:rPr>
        <w:t>（三）运营管理</w:t>
      </w:r>
    </w:p>
    <w:p w14:paraId="46607FD2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pacing w:line="500" w:lineRule="exact"/>
        <w:ind w:firstLine="640"/>
        <w:rPr>
          <w:rFonts w:ascii="仿宋_GB2312" w:hAnsi="仿宋_GB2312" w:eastAsia="仿宋_GB2312" w:cs="仿宋_GB2312"/>
          <w:highlight w:val="none"/>
        </w:rPr>
      </w:pPr>
      <w:r>
        <w:rPr>
          <w:rFonts w:hint="eastAsia" w:ascii="仿宋_GB2312" w:hAnsi="仿宋_GB2312" w:eastAsia="仿宋_GB2312" w:cs="仿宋_GB2312"/>
          <w:highlight w:val="none"/>
        </w:rPr>
        <w:t>1.承包期限内，乙方享有对加工厂的全权运营管理权，包括但不限于人员招聘、培训、考核与管理，生产计划制定与执行，原材料采购（需符合国家食品安全标准及甲方合理要求），产品生产、质量把控、销售渠道拓展等。</w:t>
      </w:r>
    </w:p>
    <w:p w14:paraId="2389F5E6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pacing w:line="500" w:lineRule="exact"/>
        <w:ind w:firstLine="640"/>
        <w:rPr>
          <w:rFonts w:ascii="仿宋_GB2312" w:hAnsi="仿宋_GB2312" w:eastAsia="仿宋_GB2312" w:cs="仿宋_GB2312"/>
          <w:highlight w:val="none"/>
        </w:rPr>
      </w:pPr>
      <w:r>
        <w:rPr>
          <w:rFonts w:hint="eastAsia" w:ascii="仿宋_GB2312" w:hAnsi="仿宋_GB2312" w:eastAsia="仿宋_GB2312" w:cs="仿宋_GB2312"/>
          <w:highlight w:val="none"/>
        </w:rPr>
        <w:t>2.乙方应按照国家相关法律法规、行业标准及甲方合理要求开展运营管理工作，确保加工厂的生产经营活动合法、合规、有序进行。</w:t>
      </w:r>
    </w:p>
    <w:p w14:paraId="0F7F0D91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pacing w:line="500" w:lineRule="exact"/>
        <w:ind w:firstLine="640"/>
        <w:rPr>
          <w:rFonts w:hint="eastAsia" w:ascii="仿宋_GB2312" w:hAnsi="仿宋_GB2312" w:eastAsia="仿宋_GB2312" w:cs="仿宋_GB2312"/>
          <w:highlight w:val="none"/>
        </w:rPr>
      </w:pPr>
      <w:r>
        <w:rPr>
          <w:rFonts w:hint="eastAsia" w:ascii="仿宋_GB2312" w:hAnsi="仿宋_GB2312" w:eastAsia="仿宋_GB2312" w:cs="仿宋_GB2312"/>
          <w:highlight w:val="none"/>
        </w:rPr>
        <w:t>3.乙方在运营过程中，应维护加工厂的声誉和形象，不得从事任何损害甲方及加工厂声誉和利益的活动。</w:t>
      </w:r>
    </w:p>
    <w:p w14:paraId="57ABEAF7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pacing w:line="500" w:lineRule="exact"/>
        <w:ind w:firstLine="640"/>
        <w:rPr>
          <w:rFonts w:hint="eastAsia" w:ascii="仿宋_GB2312" w:hAnsi="仿宋" w:eastAsia="仿宋_GB2312" w:cs="仿宋"/>
          <w:color w:val="FF0000"/>
          <w:kern w:val="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highlight w:val="none"/>
        </w:rPr>
        <w:t>4.乙方承诺</w:t>
      </w:r>
      <w:r>
        <w:rPr>
          <w:rFonts w:hint="eastAsia" w:ascii="仿宋_GB2312" w:hAnsi="仿宋_GB2312" w:eastAsia="仿宋_GB2312" w:cs="仿宋_GB2312"/>
          <w:highlight w:val="none"/>
          <w:lang w:val="en-US" w:eastAsia="zh-CN"/>
        </w:rPr>
        <w:t>自承包协议签订后，</w:t>
      </w:r>
      <w:r>
        <w:rPr>
          <w:rFonts w:hint="eastAsia" w:ascii="仿宋_GB2312" w:hAnsi="仿宋_GB2312" w:eastAsia="仿宋_GB2312" w:cs="仿宋_GB2312"/>
          <w:highlight w:val="none"/>
        </w:rPr>
        <w:t>积极筹备</w:t>
      </w:r>
      <w:r>
        <w:rPr>
          <w:rFonts w:hint="eastAsia" w:ascii="仿宋_GB2312" w:hAnsi="仿宋_GB2312" w:eastAsia="仿宋_GB2312" w:cs="仿宋_GB2312"/>
          <w:highlight w:val="none"/>
          <w:lang w:val="en-US" w:eastAsia="zh-CN"/>
        </w:rPr>
        <w:t>东方特色加工厂</w:t>
      </w:r>
      <w:r>
        <w:rPr>
          <w:rFonts w:hint="eastAsia" w:ascii="仿宋_GB2312" w:hAnsi="仿宋_GB2312" w:eastAsia="仿宋_GB2312" w:cs="仿宋_GB2312"/>
          <w:highlight w:val="none"/>
        </w:rPr>
        <w:t>项目事宜，</w:t>
      </w:r>
      <w:r>
        <w:rPr>
          <w:rFonts w:hint="eastAsia" w:ascii="仿宋_GB2312" w:hAnsi="仿宋" w:eastAsia="仿宋_GB2312" w:cs="仿宋"/>
          <w:color w:val="auto"/>
          <w:kern w:val="0"/>
          <w:sz w:val="32"/>
          <w:szCs w:val="32"/>
          <w:lang w:val="zh-CN" w:eastAsia="zh-CN"/>
        </w:rPr>
        <w:t>乙方应保证东方特色加工厂项目于2025年11月10日前达到生产状态。若乙方未依约完成上述事项，甲方有权单方解除合同且不承担任何法律责任。合同自甲方解除通知书送达乙方之日起解除。乙方向甲方缴纳的3万元保证金不予退回。甲方有权于合同解除之日起立刻收回东方特色加工厂经营权。乙方应在解除之日起，3日内退场，每逾期一日，甲方有权按照每日1000元收取场地占用费且有权自行收回场地。</w:t>
      </w:r>
    </w:p>
    <w:p w14:paraId="6D78ED16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pacing w:line="500" w:lineRule="exact"/>
        <w:ind w:firstLine="643"/>
        <w:jc w:val="left"/>
        <w:rPr>
          <w:rFonts w:ascii="楷体" w:hAnsi="楷体" w:eastAsia="楷体" w:cs="楷体"/>
          <w:b/>
          <w:bCs/>
          <w:kern w:val="0"/>
          <w:highlight w:val="none"/>
          <w:lang w:bidi="ar"/>
        </w:rPr>
      </w:pPr>
      <w:r>
        <w:rPr>
          <w:rFonts w:hint="eastAsia" w:ascii="楷体" w:hAnsi="楷体" w:eastAsia="楷体" w:cs="楷体"/>
          <w:b/>
          <w:bCs/>
          <w:kern w:val="0"/>
          <w:highlight w:val="none"/>
          <w:lang w:bidi="ar"/>
        </w:rPr>
        <w:t>（四）费用与结算</w:t>
      </w:r>
    </w:p>
    <w:p w14:paraId="630BCB9D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pacing w:line="500" w:lineRule="exact"/>
        <w:ind w:firstLine="640"/>
        <w:rPr>
          <w:rFonts w:ascii="仿宋_GB2312" w:hAnsi="仿宋_GB2312" w:eastAsia="仿宋_GB2312" w:cs="仿宋_GB2312"/>
          <w:highlight w:val="none"/>
        </w:rPr>
      </w:pPr>
      <w:r>
        <w:rPr>
          <w:rFonts w:hint="eastAsia" w:ascii="仿宋_GB2312" w:hAnsi="仿宋_GB2312" w:eastAsia="仿宋_GB2312" w:cs="仿宋_GB2312"/>
          <w:highlight w:val="none"/>
        </w:rPr>
        <w:t>1.乙方在运营过程中承担以下全部费用：</w:t>
      </w:r>
    </w:p>
    <w:p w14:paraId="3539C0A6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pacing w:line="500" w:lineRule="exact"/>
        <w:ind w:firstLine="640"/>
        <w:rPr>
          <w:rFonts w:ascii="仿宋_GB2312" w:hAnsi="仿宋_GB2312" w:eastAsia="仿宋_GB2312" w:cs="仿宋_GB2312"/>
          <w:highlight w:val="none"/>
        </w:rPr>
      </w:pPr>
      <w:r>
        <w:rPr>
          <w:rFonts w:hint="eastAsia" w:ascii="仿宋_GB2312" w:hAnsi="仿宋_GB2312" w:eastAsia="仿宋_GB2312" w:cs="仿宋_GB2312"/>
          <w:highlight w:val="none"/>
        </w:rPr>
        <w:t>（1）加工厂所有工作人员</w:t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运营后产生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的</w:t>
      </w:r>
      <w:r>
        <w:rPr>
          <w:rFonts w:hint="eastAsia" w:ascii="仿宋_GB2312" w:hAnsi="仿宋_GB2312" w:eastAsia="仿宋_GB2312" w:cs="仿宋_GB2312"/>
          <w:highlight w:val="none"/>
        </w:rPr>
        <w:t>工资、奖金、社会保险、福利待遇等相关费用；</w:t>
      </w:r>
    </w:p>
    <w:p w14:paraId="4324C3A6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pacing w:line="500" w:lineRule="exact"/>
        <w:ind w:firstLine="640"/>
        <w:rPr>
          <w:rFonts w:ascii="仿宋_GB2312" w:hAnsi="仿宋_GB2312" w:eastAsia="仿宋_GB2312" w:cs="仿宋_GB2312"/>
          <w:highlight w:val="none"/>
        </w:rPr>
      </w:pPr>
      <w:r>
        <w:rPr>
          <w:rFonts w:hint="eastAsia" w:ascii="仿宋_GB2312" w:hAnsi="仿宋_GB2312" w:eastAsia="仿宋_GB2312" w:cs="仿宋_GB2312"/>
          <w:highlight w:val="none"/>
        </w:rPr>
        <w:t>（2）加工厂生产经营过程中产生的网络费、水电费、燃气费、原材料采购费、运输费、包装费等各项运营费用；</w:t>
      </w:r>
    </w:p>
    <w:p w14:paraId="5793BDF9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pacing w:line="500" w:lineRule="exact"/>
        <w:ind w:firstLine="640"/>
        <w:rPr>
          <w:rFonts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highlight w:val="none"/>
        </w:rPr>
        <w:t>（3）加工厂生产设备、设施的日常维修保养费、故障维修费、更新改造费</w:t>
      </w:r>
      <w:r>
        <w:rPr>
          <w:rFonts w:hint="eastAsia" w:ascii="仿宋_GB2312" w:hAnsi="仿宋_GB2312" w:eastAsia="仿宋_GB2312" w:cs="仿宋_GB2312"/>
          <w:highlight w:val="none"/>
          <w:lang w:eastAsia="zh-CN"/>
        </w:rPr>
        <w:t>；因乙方使用操作不当、操作失误或未及时保养导致的设备、设施大修及更新改造费用，</w:t>
      </w:r>
      <w:r>
        <w:rPr>
          <w:rFonts w:hint="eastAsia" w:ascii="仿宋_GB2312" w:hAnsi="仿宋_GB2312" w:eastAsia="仿宋_GB2312" w:cs="仿宋_GB2312"/>
          <w:highlight w:val="none"/>
        </w:rPr>
        <w:t>需提前书面告知甲方，经甲方同意后方可实施，费用由乙方承担</w:t>
      </w:r>
      <w:r>
        <w:rPr>
          <w:rFonts w:hint="eastAsia" w:ascii="仿宋_GB2312" w:hAnsi="仿宋_GB2312" w:eastAsia="仿宋_GB2312" w:cs="仿宋_GB2312"/>
          <w:color w:val="auto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甲方提供的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生产设备、设施</w:t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以双方交接时的现状为准，应达到合格，能正常运营的标准</w:t>
      </w:r>
      <w:r>
        <w:rPr>
          <w:rFonts w:hint="eastAsia" w:ascii="仿宋_GB2312" w:hAnsi="仿宋_GB2312" w:eastAsia="仿宋_GB2312" w:cs="仿宋_GB2312"/>
          <w:color w:val="auto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；</w:t>
      </w:r>
    </w:p>
    <w:p w14:paraId="044FD1DE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pacing w:line="500" w:lineRule="exact"/>
        <w:ind w:firstLine="640"/>
        <w:rPr>
          <w:rFonts w:ascii="仿宋_GB2312" w:hAnsi="仿宋_GB2312" w:eastAsia="仿宋_GB2312" w:cs="仿宋_GB2312"/>
          <w:highlight w:val="none"/>
        </w:rPr>
      </w:pPr>
      <w:r>
        <w:rPr>
          <w:rFonts w:hint="eastAsia" w:ascii="仿宋_GB2312" w:hAnsi="仿宋_GB2312" w:eastAsia="仿宋_GB2312" w:cs="仿宋_GB2312"/>
          <w:highlight w:val="none"/>
        </w:rPr>
        <w:t>（4）加工厂厂区安全卫生管理等与加工厂生产经营相关的其他全部费用。</w:t>
      </w:r>
    </w:p>
    <w:p w14:paraId="61D5DB65">
      <w:pPr>
        <w:pStyle w:val="12"/>
        <w:keepNext w:val="0"/>
        <w:keepLines w:val="0"/>
        <w:pageBreakBefore w:val="0"/>
        <w:kinsoku/>
        <w:wordWrap/>
        <w:overflowPunct/>
        <w:topLinePunct/>
        <w:autoSpaceDE/>
        <w:autoSpaceDN/>
        <w:bidi w:val="0"/>
        <w:adjustRightInd w:val="0"/>
        <w:spacing w:line="500" w:lineRule="exact"/>
        <w:ind w:firstLine="640"/>
        <w:rPr>
          <w:highlight w:val="none"/>
        </w:rPr>
      </w:pPr>
      <w:r>
        <w:rPr>
          <w:rFonts w:hint="eastAsia" w:ascii="仿宋_GB2312" w:hAnsi="仿宋_GB2312" w:eastAsia="仿宋_GB2312" w:cs="仿宋_GB2312"/>
          <w:sz w:val="32"/>
          <w:highlight w:val="none"/>
        </w:rPr>
        <w:t>（5）</w:t>
      </w:r>
      <w:r>
        <w:rPr>
          <w:rFonts w:hint="eastAsia" w:ascii="仿宋_GB2312" w:hAnsi="仿宋_GB2312" w:eastAsia="仿宋_GB2312" w:cs="仿宋_GB2312"/>
          <w:sz w:val="32"/>
          <w:highlight w:val="none"/>
          <w:lang w:eastAsia="zh-CN"/>
        </w:rPr>
        <w:t>乙方应在签订合同生效之日起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日内向甲方缴纳3万元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保证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金，</w:t>
      </w:r>
      <w:r>
        <w:rPr>
          <w:rFonts w:hint="eastAsia" w:ascii="仿宋_GB2312" w:hAnsi="仿宋_GB2312" w:eastAsia="仿宋_GB2312" w:cs="仿宋_GB2312"/>
          <w:sz w:val="32"/>
          <w:highlight w:val="none"/>
          <w:lang w:eastAsia="zh-CN"/>
        </w:rPr>
        <w:t>承包</w:t>
      </w:r>
      <w:r>
        <w:rPr>
          <w:rFonts w:hint="eastAsia" w:ascii="仿宋_GB2312" w:hAnsi="仿宋_GB2312" w:eastAsia="仿宋_GB2312" w:cs="仿宋_GB2312"/>
          <w:sz w:val="32"/>
          <w:highlight w:val="none"/>
        </w:rPr>
        <w:t>终止后，甲方完成验收相关设施设备后，10个工作日内退还给乙方，如有损坏</w:t>
      </w:r>
      <w:r>
        <w:rPr>
          <w:rFonts w:hint="eastAsia" w:ascii="仿宋_GB2312" w:hAnsi="仿宋_GB2312" w:eastAsia="仿宋_GB2312" w:cs="仿宋_GB2312"/>
          <w:sz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经双方核实损坏金额后</w:t>
      </w:r>
      <w:r>
        <w:rPr>
          <w:rFonts w:hint="eastAsia" w:ascii="仿宋_GB2312" w:hAnsi="仿宋_GB2312" w:eastAsia="仿宋_GB2312" w:cs="仿宋_GB2312"/>
          <w:sz w:val="32"/>
          <w:highlight w:val="none"/>
        </w:rPr>
        <w:t>扣减相应费用。</w:t>
      </w:r>
    </w:p>
    <w:p w14:paraId="7DA63AD3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pacing w:line="500" w:lineRule="exact"/>
        <w:ind w:left="640" w:leftChars="200" w:firstLine="0" w:firstLineChars="0"/>
        <w:rPr>
          <w:rFonts w:ascii="仿宋_GB2312" w:hAnsi="仿宋_GB2312" w:eastAsia="仿宋_GB2312" w:cs="仿宋_GB2312"/>
          <w:highlight w:val="none"/>
        </w:rPr>
      </w:pPr>
      <w:r>
        <w:rPr>
          <w:rFonts w:hint="eastAsia" w:ascii="仿宋_GB2312" w:hAnsi="仿宋_GB2312" w:eastAsia="仿宋_GB2312" w:cs="仿宋_GB2312"/>
          <w:highlight w:val="none"/>
        </w:rPr>
        <w:t>2.</w:t>
      </w:r>
      <w:r>
        <w:rPr>
          <w:rFonts w:hint="eastAsia" w:ascii="仿宋_GB2312" w:hAnsi="仿宋_GB2312" w:eastAsia="仿宋_GB2312" w:cs="仿宋_GB2312"/>
          <w:highlight w:val="none"/>
          <w:lang w:eastAsia="zh-CN"/>
        </w:rPr>
        <w:t>承包费</w:t>
      </w:r>
      <w:r>
        <w:rPr>
          <w:rFonts w:hint="eastAsia" w:ascii="仿宋_GB2312" w:hAnsi="仿宋_GB2312" w:eastAsia="仿宋_GB2312" w:cs="仿宋_GB2312"/>
          <w:highlight w:val="none"/>
        </w:rPr>
        <w:t>结算</w:t>
      </w:r>
    </w:p>
    <w:p w14:paraId="2156C0F9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pacing w:line="500" w:lineRule="exact"/>
        <w:ind w:firstLine="640"/>
        <w:jc w:val="left"/>
        <w:rPr>
          <w:rFonts w:hint="eastAsia" w:ascii="仿宋_GB2312" w:hAnsi="仿宋_GB2312" w:eastAsia="仿宋_GB2312" w:cs="仿宋_GB2312"/>
          <w:kern w:val="0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highlight w:val="none"/>
          <w:lang w:bidi="ar"/>
        </w:rPr>
        <w:t>（1）</w:t>
      </w:r>
      <w:r>
        <w:rPr>
          <w:rFonts w:hint="eastAsia" w:ascii="仿宋_GB2312" w:hAnsi="仿宋_GB2312" w:eastAsia="仿宋_GB2312" w:cs="仿宋_GB2312"/>
          <w:kern w:val="0"/>
          <w:highlight w:val="none"/>
          <w:lang w:val="en-US" w:eastAsia="zh-CN" w:bidi="ar"/>
        </w:rPr>
        <w:t>第一期（自2025年  月  日至2028年  月  日止）每年承包费为</w:t>
      </w:r>
      <w:r>
        <w:rPr>
          <w:rFonts w:hint="eastAsia" w:ascii="仿宋_GB2312" w:hAnsi="仿宋_GB2312" w:eastAsia="仿宋_GB2312" w:cs="仿宋_GB2312"/>
          <w:kern w:val="0"/>
          <w:highlight w:val="none"/>
          <w:u w:val="single"/>
          <w:lang w:val="en-US" w:eastAsia="zh-CN" w:bidi="ar"/>
        </w:rPr>
        <w:t xml:space="preserve">   </w:t>
      </w:r>
      <w:r>
        <w:rPr>
          <w:rFonts w:hint="eastAsia" w:ascii="仿宋_GB2312" w:hAnsi="仿宋_GB2312" w:eastAsia="仿宋_GB2312" w:cs="仿宋_GB2312"/>
          <w:kern w:val="0"/>
          <w:highlight w:val="none"/>
          <w:lang w:val="en-US" w:eastAsia="zh-CN" w:bidi="ar"/>
        </w:rPr>
        <w:t>元（大写：</w:t>
      </w:r>
      <w:r>
        <w:rPr>
          <w:rFonts w:hint="eastAsia" w:ascii="仿宋_GB2312" w:hAnsi="仿宋_GB2312" w:eastAsia="仿宋_GB2312" w:cs="仿宋_GB2312"/>
          <w:kern w:val="0"/>
          <w:highlight w:val="none"/>
          <w:u w:val="single"/>
          <w:lang w:val="en-US" w:eastAsia="zh-CN" w:bidi="ar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highlight w:val="none"/>
          <w:lang w:val="en-US" w:eastAsia="zh-CN" w:bidi="ar"/>
        </w:rPr>
        <w:t>元整）；</w:t>
      </w:r>
    </w:p>
    <w:p w14:paraId="3B38D147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pacing w:line="500" w:lineRule="exact"/>
        <w:ind w:firstLine="640"/>
        <w:jc w:val="left"/>
        <w:rPr>
          <w:rFonts w:hint="eastAsia" w:ascii="仿宋_GB2312" w:hAnsi="仿宋_GB2312" w:eastAsia="仿宋_GB2312" w:cs="仿宋_GB2312"/>
          <w:kern w:val="0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highlight w:val="none"/>
          <w:lang w:val="en-US" w:eastAsia="zh-CN" w:bidi="ar"/>
        </w:rPr>
        <w:t>（2）第二期（自2028年  月  日至2030年  月  日止）,按照涨幅5%计算，即承包费为每年为</w:t>
      </w:r>
      <w:r>
        <w:rPr>
          <w:rFonts w:hint="eastAsia" w:ascii="仿宋_GB2312" w:hAnsi="仿宋_GB2312" w:eastAsia="仿宋_GB2312" w:cs="仿宋_GB2312"/>
          <w:kern w:val="0"/>
          <w:highlight w:val="none"/>
          <w:u w:val="single"/>
          <w:lang w:val="en-US" w:eastAsia="zh-CN" w:bidi="ar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highlight w:val="none"/>
          <w:lang w:val="en-US" w:eastAsia="zh-CN" w:bidi="ar"/>
        </w:rPr>
        <w:t>元（大写：</w:t>
      </w:r>
      <w:r>
        <w:rPr>
          <w:rFonts w:hint="eastAsia" w:ascii="仿宋_GB2312" w:hAnsi="仿宋_GB2312" w:eastAsia="仿宋_GB2312" w:cs="仿宋_GB2312"/>
          <w:kern w:val="0"/>
          <w:highlight w:val="none"/>
          <w:u w:val="single"/>
          <w:lang w:val="en-US" w:eastAsia="zh-CN" w:bidi="ar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highlight w:val="none"/>
          <w:lang w:val="en-US" w:eastAsia="zh-CN" w:bidi="ar"/>
        </w:rPr>
        <w:t>元整）。</w:t>
      </w:r>
    </w:p>
    <w:p w14:paraId="110BCB89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pacing w:line="500" w:lineRule="exact"/>
        <w:ind w:firstLine="640"/>
        <w:jc w:val="left"/>
        <w:rPr>
          <w:rFonts w:ascii="仿宋_GB2312" w:hAnsi="仿宋_GB2312" w:eastAsia="仿宋_GB2312" w:cs="仿宋_GB2312"/>
          <w:color w:val="auto"/>
          <w:kern w:val="0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highlight w:val="none"/>
          <w:lang w:bidi="ar"/>
        </w:rPr>
        <w:t>（</w:t>
      </w:r>
      <w:r>
        <w:rPr>
          <w:rFonts w:hint="eastAsia" w:ascii="仿宋_GB2312" w:hAnsi="仿宋_GB2312" w:eastAsia="仿宋_GB2312" w:cs="仿宋_GB2312"/>
          <w:color w:val="auto"/>
          <w:kern w:val="0"/>
          <w:highlight w:val="none"/>
          <w:lang w:val="en-US" w:eastAsia="zh-CN" w:bidi="ar"/>
        </w:rPr>
        <w:t>3</w:t>
      </w:r>
      <w:r>
        <w:rPr>
          <w:rFonts w:hint="eastAsia" w:ascii="仿宋_GB2312" w:hAnsi="仿宋_GB2312" w:eastAsia="仿宋_GB2312" w:cs="仿宋_GB2312"/>
          <w:color w:val="auto"/>
          <w:kern w:val="0"/>
          <w:highlight w:val="none"/>
          <w:lang w:bidi="ar"/>
        </w:rPr>
        <w:t>）</w:t>
      </w:r>
      <w:r>
        <w:rPr>
          <w:rFonts w:hint="eastAsia" w:ascii="仿宋_GB2312" w:hAnsi="仿宋_GB2312" w:eastAsia="仿宋_GB2312" w:cs="仿宋_GB2312"/>
          <w:color w:val="auto"/>
          <w:kern w:val="0"/>
          <w:highlight w:val="none"/>
          <w:lang w:val="en-US" w:eastAsia="zh-CN" w:bidi="ar"/>
        </w:rPr>
        <w:t>承包</w:t>
      </w:r>
      <w:r>
        <w:rPr>
          <w:rFonts w:hint="eastAsia" w:ascii="仿宋_GB2312" w:hAnsi="仿宋_GB2312" w:eastAsia="仿宋_GB2312" w:cs="仿宋_GB2312"/>
          <w:color w:val="auto"/>
          <w:kern w:val="0"/>
          <w:highlight w:val="none"/>
          <w:lang w:bidi="ar"/>
        </w:rPr>
        <w:t>费按半年度结算，每半年度（6月30日、12月31日）结束后10日内，将该半年度</w:t>
      </w:r>
      <w:r>
        <w:rPr>
          <w:rFonts w:hint="eastAsia" w:ascii="仿宋_GB2312" w:hAnsi="仿宋_GB2312" w:eastAsia="仿宋_GB2312" w:cs="仿宋_GB2312"/>
          <w:color w:val="auto"/>
          <w:kern w:val="0"/>
          <w:highlight w:val="none"/>
          <w:lang w:val="en-US" w:eastAsia="zh-CN" w:bidi="ar"/>
        </w:rPr>
        <w:t>承包</w:t>
      </w:r>
      <w:r>
        <w:rPr>
          <w:rFonts w:hint="eastAsia" w:ascii="仿宋_GB2312" w:hAnsi="仿宋_GB2312" w:eastAsia="仿宋_GB2312" w:cs="仿宋_GB2312"/>
          <w:color w:val="auto"/>
          <w:kern w:val="0"/>
          <w:highlight w:val="none"/>
          <w:lang w:bidi="ar"/>
        </w:rPr>
        <w:t>费支付至甲方指定银行账户。</w:t>
      </w:r>
    </w:p>
    <w:p w14:paraId="4749E129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pacing w:line="500" w:lineRule="exact"/>
        <w:ind w:firstLine="640"/>
        <w:jc w:val="left"/>
        <w:rPr>
          <w:rFonts w:ascii="仿宋_GB2312" w:hAnsi="仿宋_GB2312" w:eastAsia="仿宋_GB2312" w:cs="仿宋_GB2312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highlight w:val="none"/>
          <w:lang w:bidi="ar"/>
        </w:rPr>
        <w:t>甲方指定银行账户信息如下：</w:t>
      </w:r>
    </w:p>
    <w:p w14:paraId="6FDF3633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pacing w:line="500" w:lineRule="exact"/>
        <w:ind w:firstLine="640"/>
        <w:jc w:val="left"/>
        <w:rPr>
          <w:rFonts w:hint="eastAsia" w:ascii="仿宋_GB2312" w:hAnsi="仿宋_GB2312" w:eastAsia="仿宋_GB2312" w:cs="仿宋_GB2312"/>
          <w:kern w:val="0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highlight w:val="none"/>
          <w:lang w:bidi="ar"/>
        </w:rPr>
        <w:t>账户名称：东方</w:t>
      </w:r>
      <w:r>
        <w:rPr>
          <w:rFonts w:hint="eastAsia" w:ascii="仿宋_GB2312" w:hAnsi="仿宋_GB2312" w:eastAsia="仿宋_GB2312" w:cs="仿宋_GB2312"/>
          <w:kern w:val="0"/>
          <w:highlight w:val="none"/>
          <w:lang w:val="en-US" w:eastAsia="zh-CN" w:bidi="ar"/>
        </w:rPr>
        <w:t>乡村振兴投资有限公司</w:t>
      </w:r>
    </w:p>
    <w:p w14:paraId="50EE5F56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pacing w:line="500" w:lineRule="exact"/>
        <w:ind w:firstLine="640"/>
        <w:jc w:val="left"/>
        <w:rPr>
          <w:rFonts w:hint="eastAsia" w:ascii="仿宋_GB2312" w:hAnsi="仿宋_GB2312" w:eastAsia="仿宋_GB2312" w:cs="仿宋_GB2312"/>
          <w:kern w:val="0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highlight w:val="none"/>
          <w:lang w:bidi="ar"/>
        </w:rPr>
        <w:t>账号：21641001040024583</w:t>
      </w:r>
    </w:p>
    <w:p w14:paraId="3C00F264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pacing w:line="500" w:lineRule="exact"/>
        <w:ind w:firstLine="640"/>
        <w:jc w:val="left"/>
        <w:rPr>
          <w:rFonts w:ascii="黑体" w:hAnsi="黑体" w:eastAsia="黑体" w:cs="黑体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highlight w:val="none"/>
          <w:lang w:bidi="ar"/>
        </w:rPr>
        <w:t>开户行：</w:t>
      </w:r>
      <w:r>
        <w:rPr>
          <w:rFonts w:hint="eastAsia" w:ascii="仿宋_GB2312" w:hAnsi="仿宋_GB2312" w:eastAsia="仿宋_GB2312" w:cs="仿宋_GB2312"/>
          <w:highlight w:val="none"/>
        </w:rPr>
        <w:t>中国农业银行股份有限公司东方市支行</w:t>
      </w:r>
      <w:r>
        <w:rPr>
          <w:rFonts w:hint="eastAsia" w:ascii="仿宋_GB2312" w:hAnsi="仿宋_GB2312" w:eastAsia="仿宋_GB2312" w:cs="仿宋_GB2312"/>
          <w:highlight w:val="none"/>
        </w:rPr>
        <w:br w:type="textWrapping"/>
      </w:r>
      <w:r>
        <w:rPr>
          <w:rFonts w:hint="eastAsia" w:ascii="黑体" w:hAnsi="黑体" w:eastAsia="黑体" w:cs="黑体"/>
          <w:highlight w:val="none"/>
        </w:rPr>
        <w:t>三、甲乙双方责任与义务</w:t>
      </w:r>
    </w:p>
    <w:p w14:paraId="6327FD26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pacing w:line="500" w:lineRule="exact"/>
        <w:ind w:firstLine="643"/>
        <w:jc w:val="left"/>
        <w:rPr>
          <w:rFonts w:ascii="楷体" w:hAnsi="楷体" w:eastAsia="楷体" w:cs="楷体"/>
          <w:b/>
          <w:bCs/>
          <w:kern w:val="0"/>
          <w:highlight w:val="none"/>
          <w:lang w:bidi="ar"/>
        </w:rPr>
      </w:pPr>
      <w:r>
        <w:rPr>
          <w:rFonts w:hint="eastAsia" w:ascii="楷体" w:hAnsi="楷体" w:eastAsia="楷体" w:cs="楷体"/>
          <w:b/>
          <w:bCs/>
          <w:kern w:val="0"/>
          <w:highlight w:val="none"/>
          <w:lang w:bidi="ar"/>
        </w:rPr>
        <w:t>（一）甲方责任与义务</w:t>
      </w:r>
    </w:p>
    <w:p w14:paraId="0F97CDE7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pacing w:line="500" w:lineRule="exact"/>
        <w:ind w:firstLine="640"/>
        <w:rPr>
          <w:rFonts w:ascii="仿宋_GB2312" w:hAnsi="仿宋_GB2312" w:eastAsia="仿宋_GB2312" w:cs="仿宋_GB2312"/>
          <w:highlight w:val="none"/>
        </w:rPr>
      </w:pPr>
      <w:r>
        <w:rPr>
          <w:rFonts w:hint="eastAsia" w:ascii="仿宋_GB2312" w:hAnsi="仿宋_GB2312" w:eastAsia="仿宋_GB2312" w:cs="仿宋_GB2312"/>
          <w:highlight w:val="none"/>
        </w:rPr>
        <w:t>1.按照本协议约定，将加工厂及相关设备、设施、资质完整交付给乙方使用，并确保交付时能够正常运行。</w:t>
      </w:r>
    </w:p>
    <w:p w14:paraId="67432A46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pacing w:line="500" w:lineRule="exact"/>
        <w:ind w:firstLine="640"/>
        <w:rPr>
          <w:rFonts w:ascii="仿宋_GB2312" w:hAnsi="仿宋_GB2312" w:eastAsia="仿宋_GB2312" w:cs="仿宋_GB2312"/>
          <w:highlight w:val="none"/>
        </w:rPr>
      </w:pPr>
      <w:r>
        <w:rPr>
          <w:rFonts w:hint="eastAsia" w:ascii="仿宋_GB2312" w:hAnsi="仿宋_GB2312" w:eastAsia="仿宋_GB2312" w:cs="仿宋_GB2312"/>
          <w:highlight w:val="none"/>
        </w:rPr>
        <w:t>2.有权对乙方的运营管理工作进行监督检查，发现乙方存在违法违规运营、损害甲方利益或未履行本协议约定义务等情况</w:t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且经双方书面确认后</w:t>
      </w:r>
      <w:r>
        <w:rPr>
          <w:rFonts w:hint="eastAsia" w:ascii="仿宋_GB2312" w:hAnsi="仿宋_GB2312" w:eastAsia="仿宋_GB2312" w:cs="仿宋_GB2312"/>
          <w:highlight w:val="none"/>
        </w:rPr>
        <w:t>时，有权要求乙方限期整改；若乙方逾期未整改或整改不符合要求，甲方有权</w:t>
      </w:r>
      <w:r>
        <w:rPr>
          <w:rFonts w:hint="eastAsia" w:ascii="仿宋_GB2312" w:hAnsi="仿宋_GB2312" w:eastAsia="仿宋_GB2312" w:cs="仿宋_GB2312"/>
          <w:highlight w:val="none"/>
          <w:lang w:eastAsia="zh-CN"/>
        </w:rPr>
        <w:t>解除本合同</w:t>
      </w:r>
      <w:r>
        <w:rPr>
          <w:rFonts w:hint="eastAsia" w:ascii="仿宋_GB2312" w:hAnsi="仿宋_GB2312" w:eastAsia="仿宋_GB2312" w:cs="仿宋_GB2312"/>
          <w:highlight w:val="none"/>
          <w:lang w:val="en-US" w:eastAsia="zh-CN"/>
        </w:rPr>
        <w:t>扣除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向甲方缴纳3万元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保证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金</w:t>
      </w:r>
      <w:r>
        <w:rPr>
          <w:rFonts w:hint="eastAsia" w:ascii="仿宋_GB2312" w:hAnsi="仿宋_GB2312" w:eastAsia="仿宋_GB2312" w:cs="仿宋_GB2312"/>
          <w:highlight w:val="none"/>
          <w:lang w:eastAsia="zh-CN"/>
        </w:rPr>
        <w:t>并有权要求乙方按照</w:t>
      </w:r>
      <w:r>
        <w:rPr>
          <w:rFonts w:hint="eastAsia" w:ascii="仿宋_GB2312" w:hAnsi="仿宋_GB2312" w:eastAsia="仿宋_GB2312" w:cs="仿宋_GB2312"/>
          <w:highlight w:val="none"/>
          <w:lang w:val="en-US" w:eastAsia="zh-CN"/>
        </w:rPr>
        <w:t>5万元支付违约金</w:t>
      </w:r>
      <w:r>
        <w:rPr>
          <w:rFonts w:hint="eastAsia" w:ascii="仿宋_GB2312" w:hAnsi="仿宋_GB2312" w:eastAsia="仿宋_GB2312" w:cs="仿宋_GB2312"/>
          <w:highlight w:val="none"/>
        </w:rPr>
        <w:t>。有权监督东方市“一村一品”东方罗带粽子使用规范。</w:t>
      </w:r>
    </w:p>
    <w:p w14:paraId="040C5030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pacing w:line="500" w:lineRule="exact"/>
        <w:ind w:firstLine="640"/>
        <w:rPr>
          <w:rFonts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highlight w:val="none"/>
        </w:rPr>
        <w:t>3.按照本协议约定及时接收乙方支付的</w:t>
      </w:r>
      <w:r>
        <w:rPr>
          <w:rFonts w:hint="eastAsia" w:ascii="仿宋_GB2312" w:hAnsi="仿宋_GB2312" w:eastAsia="仿宋_GB2312" w:cs="仿宋_GB2312"/>
          <w:highlight w:val="none"/>
          <w:lang w:eastAsia="zh-CN"/>
        </w:rPr>
        <w:t>承包</w:t>
      </w:r>
      <w:r>
        <w:rPr>
          <w:rFonts w:hint="eastAsia" w:ascii="仿宋_GB2312" w:hAnsi="仿宋_GB2312" w:eastAsia="仿宋_GB2312" w:cs="仿宋_GB2312"/>
          <w:highlight w:val="none"/>
        </w:rPr>
        <w:t>费，若对</w:t>
      </w:r>
      <w:r>
        <w:rPr>
          <w:rFonts w:hint="eastAsia" w:ascii="仿宋_GB2312" w:hAnsi="仿宋_GB2312" w:eastAsia="仿宋_GB2312" w:cs="仿宋_GB2312"/>
          <w:highlight w:val="none"/>
          <w:lang w:eastAsia="zh-CN"/>
        </w:rPr>
        <w:t>承包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费金额有异议，应在约定的审核期内提出。</w:t>
      </w:r>
    </w:p>
    <w:p w14:paraId="37CCEF62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pacing w:line="500" w:lineRule="exact"/>
        <w:ind w:firstLine="640"/>
        <w:rPr>
          <w:rFonts w:ascii="仿宋_GB2312" w:hAnsi="仿宋_GB2312" w:eastAsia="仿宋_GB2312" w:cs="仿宋_GB2312"/>
          <w:color w:val="FF0000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t>4.甲方及时配合乙方提供办理食品生产许可证所需的相关证件，协助乙方办理生产所需证照。</w:t>
      </w:r>
    </w:p>
    <w:p w14:paraId="27F99005">
      <w:pPr>
        <w:pStyle w:val="12"/>
        <w:keepNext w:val="0"/>
        <w:keepLines w:val="0"/>
        <w:pageBreakBefore w:val="0"/>
        <w:kinsoku/>
        <w:wordWrap/>
        <w:overflowPunct/>
        <w:topLinePunct/>
        <w:autoSpaceDE/>
        <w:autoSpaceDN/>
        <w:bidi w:val="0"/>
        <w:adjustRightInd w:val="0"/>
        <w:spacing w:line="500" w:lineRule="exact"/>
        <w:ind w:firstLine="640"/>
        <w:rPr>
          <w:rFonts w:hint="eastAsia" w:ascii="仿宋_GB2312" w:hAnsi="仿宋_GB2312" w:eastAsia="仿宋_GB2312" w:cs="仿宋_GB2312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highlight w:val="none"/>
        </w:rPr>
        <w:t>5.甲方无故干扰乙方正常运营，应承担相应违约金，并相应顺延承包期或减免</w:t>
      </w: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承包</w:t>
      </w:r>
      <w:r>
        <w:rPr>
          <w:rFonts w:hint="eastAsia" w:ascii="仿宋_GB2312" w:hAnsi="仿宋_GB2312" w:eastAsia="仿宋_GB2312" w:cs="仿宋_GB2312"/>
          <w:sz w:val="32"/>
          <w:highlight w:val="none"/>
        </w:rPr>
        <w:t>费。</w:t>
      </w:r>
    </w:p>
    <w:p w14:paraId="6987FE49">
      <w:pPr>
        <w:keepNext w:val="0"/>
        <w:keepLines w:val="0"/>
        <w:pageBreakBefore w:val="0"/>
        <w:kinsoku/>
        <w:wordWrap/>
        <w:overflowPunct/>
        <w:topLinePunct/>
        <w:autoSpaceDE/>
        <w:autoSpaceDN/>
        <w:bidi w:val="0"/>
        <w:adjustRightInd w:val="0"/>
        <w:spacing w:line="500" w:lineRule="exact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6.若甲方在第一期承包期限内，除政策调整、自然灾害、社会事件、政府行为等不可抗力或非甲方原因的因素外，单方无故解除合同或因甲方违约导致乙方解除合同的，甲方退还乙方缴纳的保证金。</w:t>
      </w:r>
      <w:bookmarkStart w:id="0" w:name="_GoBack"/>
      <w:bookmarkEnd w:id="0"/>
    </w:p>
    <w:p w14:paraId="0EB6CA85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pacing w:line="500" w:lineRule="exact"/>
        <w:ind w:firstLine="643"/>
        <w:jc w:val="left"/>
        <w:rPr>
          <w:rFonts w:ascii="楷体" w:hAnsi="楷体" w:eastAsia="楷体" w:cs="楷体"/>
          <w:b/>
          <w:bCs/>
          <w:kern w:val="0"/>
          <w:highlight w:val="none"/>
          <w:lang w:bidi="ar"/>
        </w:rPr>
      </w:pPr>
      <w:r>
        <w:rPr>
          <w:rFonts w:hint="eastAsia" w:ascii="楷体" w:hAnsi="楷体" w:eastAsia="楷体" w:cs="楷体"/>
          <w:b/>
          <w:bCs/>
          <w:kern w:val="0"/>
          <w:highlight w:val="none"/>
          <w:lang w:bidi="ar"/>
        </w:rPr>
        <w:t>（二）乙方责任与义务</w:t>
      </w:r>
    </w:p>
    <w:p w14:paraId="4C7C9576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pacing w:line="500" w:lineRule="exact"/>
        <w:ind w:firstLine="640"/>
        <w:rPr>
          <w:rFonts w:ascii="仿宋_GB2312" w:hAnsi="仿宋_GB2312" w:eastAsia="仿宋_GB2312" w:cs="仿宋_GB2312"/>
          <w:highlight w:val="none"/>
        </w:rPr>
      </w:pPr>
      <w:r>
        <w:rPr>
          <w:rFonts w:hint="eastAsia" w:ascii="仿宋_GB2312" w:hAnsi="仿宋_GB2312" w:eastAsia="仿宋_GB2312" w:cs="仿宋_GB2312"/>
          <w:highlight w:val="none"/>
        </w:rPr>
        <w:t>1.严格按照本协议约定行使运营管理权，承担运营过程中的全部费用和责任，确保加工厂的生产经营活动符合国家法律法规、行业标准及甲方合理要求。</w:t>
      </w:r>
    </w:p>
    <w:p w14:paraId="5A08DF37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pacing w:line="500" w:lineRule="exact"/>
        <w:ind w:firstLine="640"/>
        <w:rPr>
          <w:rFonts w:ascii="仿宋_GB2312" w:hAnsi="仿宋_GB2312" w:eastAsia="仿宋_GB2312" w:cs="仿宋_GB2312"/>
          <w:highlight w:val="none"/>
        </w:rPr>
      </w:pPr>
      <w:r>
        <w:rPr>
          <w:rFonts w:hint="eastAsia" w:ascii="仿宋_GB2312" w:hAnsi="仿宋_GB2312" w:eastAsia="仿宋_GB2312" w:cs="仿宋_GB2312"/>
          <w:highlight w:val="none"/>
        </w:rPr>
        <w:t>2.保障加工厂工作人员的合法权益，按照国家相关规定为工作人员缴纳社会保险，按时足额支付工资，提供符合安全标准的工作环境和劳动保护用品，并为在工厂从事工作的劳动人员购买工伤保险，避免发生劳动纠纷和安全事故。</w:t>
      </w:r>
    </w:p>
    <w:p w14:paraId="0BAD30D5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pacing w:line="500" w:lineRule="exact"/>
        <w:ind w:firstLine="640"/>
        <w:rPr>
          <w:rFonts w:ascii="仿宋_GB2312" w:hAnsi="仿宋_GB2312" w:eastAsia="仿宋_GB2312" w:cs="仿宋_GB2312"/>
          <w:highlight w:val="none"/>
        </w:rPr>
      </w:pPr>
      <w:r>
        <w:rPr>
          <w:rFonts w:hint="eastAsia" w:ascii="仿宋_GB2312" w:hAnsi="仿宋_GB2312" w:eastAsia="仿宋_GB2312" w:cs="仿宋_GB2312"/>
          <w:highlight w:val="none"/>
        </w:rPr>
        <w:t>3.严格把控产品质量，建立完善的质量管理制度和检验流程，确保生产的粽子符合国家食品安全标准和甲方要求；若因产品质量问题导致甲方或第三方遭受损失（包括但不限于经济损失、声誉损失、行政处罚等），由乙方承担全部责任和赔偿费用。</w:t>
      </w:r>
    </w:p>
    <w:p w14:paraId="1AC3826C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pacing w:line="500" w:lineRule="exact"/>
        <w:ind w:firstLine="640"/>
        <w:rPr>
          <w:rFonts w:ascii="仿宋_GB2312" w:hAnsi="仿宋_GB2312" w:eastAsia="仿宋_GB2312" w:cs="仿宋_GB2312"/>
          <w:highlight w:val="none"/>
        </w:rPr>
      </w:pPr>
      <w:r>
        <w:rPr>
          <w:rFonts w:hint="eastAsia" w:ascii="仿宋_GB2312" w:hAnsi="仿宋_GB2312" w:eastAsia="仿宋_GB2312" w:cs="仿宋_GB231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highlight w:val="none"/>
        </w:rPr>
        <w:t>.严格遵守国家安全生产相关法律法规，建立健全安全生产管理制度，落实安全生产责任，定期开展安全生产培训和检查，确保加工厂生产安全；若发生生产安全事故，由乙方承担全部责任和赔偿费用（包括但不限于人员伤亡赔偿、财产损失赔偿、行政处罚等），并及时向甲方及相关部门报告事故情况。</w:t>
      </w:r>
    </w:p>
    <w:p w14:paraId="162F861D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pacing w:line="500" w:lineRule="exact"/>
        <w:ind w:firstLine="640"/>
        <w:rPr>
          <w:rFonts w:hint="default" w:ascii="仿宋_GB2312" w:hAnsi="仿宋_GB2312" w:eastAsia="仿宋_GB2312" w:cs="仿宋_GB231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highlight w:val="none"/>
        </w:rPr>
        <w:t>.按照本协议约定的数量和时间，按时足额向甲方支付</w:t>
      </w:r>
      <w:r>
        <w:rPr>
          <w:rFonts w:hint="eastAsia" w:ascii="仿宋_GB2312" w:hAnsi="仿宋_GB2312" w:eastAsia="仿宋_GB2312" w:cs="仿宋_GB2312"/>
          <w:highlight w:val="none"/>
          <w:lang w:eastAsia="zh-CN"/>
        </w:rPr>
        <w:t>承包</w:t>
      </w:r>
      <w:r>
        <w:rPr>
          <w:rFonts w:hint="eastAsia" w:ascii="仿宋_GB2312" w:hAnsi="仿宋_GB2312" w:eastAsia="仿宋_GB2312" w:cs="仿宋_GB2312"/>
          <w:highlight w:val="none"/>
        </w:rPr>
        <w:t>费；若逾期支付</w:t>
      </w:r>
      <w:r>
        <w:rPr>
          <w:rFonts w:hint="eastAsia" w:ascii="仿宋_GB2312" w:hAnsi="仿宋_GB2312" w:eastAsia="仿宋_GB2312" w:cs="仿宋_GB2312"/>
          <w:highlight w:val="none"/>
          <w:lang w:eastAsia="zh-CN"/>
        </w:rPr>
        <w:t>承包</w:t>
      </w:r>
      <w:r>
        <w:rPr>
          <w:rFonts w:hint="eastAsia" w:ascii="仿宋_GB2312" w:hAnsi="仿宋_GB2312" w:eastAsia="仿宋_GB2312" w:cs="仿宋_GB2312"/>
          <w:highlight w:val="none"/>
        </w:rPr>
        <w:t>费，应每日按照逾期金额的1‰向甲方支付违约金。</w:t>
      </w:r>
      <w:r>
        <w:rPr>
          <w:rFonts w:hint="eastAsia" w:ascii="仿宋_GB2312" w:hAnsi="仿宋_GB2312" w:eastAsia="仿宋_GB2312" w:cs="仿宋_GB2312"/>
          <w:highlight w:val="none"/>
          <w:lang w:eastAsia="zh-CN"/>
        </w:rPr>
        <w:t>逾期超过</w:t>
      </w:r>
      <w:r>
        <w:rPr>
          <w:rFonts w:hint="eastAsia" w:ascii="仿宋_GB2312" w:hAnsi="仿宋_GB2312" w:eastAsia="仿宋_GB2312" w:cs="仿宋_GB2312"/>
          <w:highlight w:val="none"/>
          <w:lang w:val="en-US" w:eastAsia="zh-CN"/>
        </w:rPr>
        <w:t>30日的，甲方有权解除本协议。</w:t>
      </w:r>
    </w:p>
    <w:p w14:paraId="7293CACF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pacing w:line="500" w:lineRule="exact"/>
        <w:ind w:firstLine="640"/>
        <w:rPr>
          <w:rFonts w:ascii="仿宋_GB2312" w:hAnsi="仿宋_GB2312" w:eastAsia="仿宋_GB2312" w:cs="仿宋_GB2312"/>
          <w:highlight w:val="none"/>
        </w:rPr>
      </w:pPr>
      <w:r>
        <w:rPr>
          <w:rFonts w:hint="eastAsia" w:ascii="仿宋_GB2312" w:hAnsi="仿宋_GB2312" w:eastAsia="仿宋_GB2312" w:cs="仿宋_GB231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highlight w:val="none"/>
        </w:rPr>
        <w:t>.不得擅自将加工厂的承包权转让给第三方，不得将加工厂用于本协议约定以外的其他用途，不得抵押、质押或以其他方式处分加工厂及相关设备、设施。</w:t>
      </w:r>
    </w:p>
    <w:p w14:paraId="7091040E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pacing w:line="500" w:lineRule="exact"/>
        <w:ind w:firstLine="640"/>
        <w:rPr>
          <w:rFonts w:hint="eastAsia" w:ascii="仿宋_GB2312" w:hAnsi="仿宋_GB2312" w:eastAsia="仿宋_GB2312" w:cs="仿宋_GB2312"/>
          <w:highlight w:val="none"/>
        </w:rPr>
      </w:pPr>
      <w:r>
        <w:rPr>
          <w:rFonts w:hint="eastAsia" w:ascii="仿宋_GB2312" w:hAnsi="仿宋_GB2312" w:eastAsia="仿宋_GB2312" w:cs="仿宋_GB2312"/>
          <w:highlight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highlight w:val="none"/>
        </w:rPr>
        <w:t>.若乙方在</w:t>
      </w:r>
      <w:r>
        <w:rPr>
          <w:rFonts w:hint="eastAsia" w:ascii="仿宋_GB2312" w:hAnsi="仿宋_GB2312" w:eastAsia="仿宋_GB2312" w:cs="仿宋_GB2312"/>
          <w:highlight w:val="none"/>
          <w:lang w:eastAsia="zh-CN"/>
        </w:rPr>
        <w:t>第一期承包期限内</w:t>
      </w:r>
      <w:r>
        <w:rPr>
          <w:rFonts w:hint="eastAsia" w:ascii="仿宋_GB2312" w:hAnsi="仿宋_GB2312" w:eastAsia="仿宋_GB2312" w:cs="仿宋_GB2312"/>
          <w:highlight w:val="none"/>
        </w:rPr>
        <w:t>，单方无故解除合同或因乙方违约导致甲方解除合同的，乙方</w:t>
      </w:r>
      <w:r>
        <w:rPr>
          <w:rFonts w:hint="eastAsia" w:ascii="仿宋_GB2312" w:hAnsi="仿宋_GB2312" w:eastAsia="仿宋_GB2312" w:cs="仿宋_GB2312"/>
          <w:highlight w:val="none"/>
          <w:lang w:val="en-US" w:eastAsia="zh-CN"/>
        </w:rPr>
        <w:t>缴纳的保证金不予退还，并</w:t>
      </w:r>
      <w:r>
        <w:rPr>
          <w:rFonts w:hint="eastAsia" w:ascii="仿宋_GB2312" w:hAnsi="仿宋_GB2312" w:eastAsia="仿宋_GB2312" w:cs="仿宋_GB2312"/>
          <w:highlight w:val="none"/>
          <w:lang w:eastAsia="zh-CN"/>
        </w:rPr>
        <w:t>有权要求乙方按照</w:t>
      </w:r>
      <w:r>
        <w:rPr>
          <w:rFonts w:hint="eastAsia" w:ascii="仿宋_GB2312" w:hAnsi="仿宋_GB2312" w:eastAsia="仿宋_GB2312" w:cs="仿宋_GB2312"/>
          <w:highlight w:val="none"/>
          <w:lang w:val="en-US" w:eastAsia="zh-CN"/>
        </w:rPr>
        <w:t>5万元支付违约金</w:t>
      </w:r>
      <w:r>
        <w:rPr>
          <w:rFonts w:hint="eastAsia" w:ascii="仿宋_GB2312" w:hAnsi="仿宋_GB2312" w:eastAsia="仿宋_GB2312" w:cs="仿宋_GB2312"/>
          <w:highlight w:val="none"/>
        </w:rPr>
        <w:t>。</w:t>
      </w:r>
    </w:p>
    <w:p w14:paraId="04370913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pacing w:line="500" w:lineRule="exact"/>
        <w:ind w:firstLine="640"/>
        <w:rPr>
          <w:rFonts w:ascii="仿宋_GB2312" w:hAnsi="仿宋_GB2312" w:eastAsia="仿宋_GB2312" w:cs="仿宋_GB2312"/>
          <w:highlight w:val="none"/>
        </w:rPr>
      </w:pPr>
      <w:r>
        <w:rPr>
          <w:rFonts w:hint="eastAsia" w:ascii="仿宋_GB2312" w:hAnsi="仿宋_GB2312" w:eastAsia="仿宋_GB2312" w:cs="仿宋_GB2312"/>
          <w:highlight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highlight w:val="none"/>
        </w:rPr>
        <w:t>.协议期满或因其他原因终止时，应按照本协议约定将加工厂结构、装修、绿化及配套设备、设施整洁完好不被破坏，并配合甲方进行验收；若造成加工厂及设备、设施损坏或丢失，应承担修复或赔偿责任，赔偿金额由第三方评估机构认定。</w:t>
      </w:r>
    </w:p>
    <w:p w14:paraId="70A0A00C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pacing w:line="500" w:lineRule="exact"/>
        <w:ind w:firstLine="640"/>
        <w:rPr>
          <w:rFonts w:ascii="仿宋_GB2312" w:hAnsi="仿宋_GB2312" w:eastAsia="仿宋_GB2312" w:cs="仿宋_GB2312"/>
          <w:highlight w:val="none"/>
        </w:rPr>
      </w:pPr>
      <w:r>
        <w:rPr>
          <w:rFonts w:hint="eastAsia" w:ascii="仿宋_GB2312" w:hAnsi="仿宋_GB2312" w:eastAsia="仿宋_GB2312" w:cs="仿宋_GB2312"/>
          <w:highlight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highlight w:val="none"/>
        </w:rPr>
        <w:t>.承担因乙方自身违法违规运营、未履行本协议约定义务等原因给甲方造成的全部损失（包括但不限于经济损失、声誉损失、行政处罚等）。</w:t>
      </w:r>
    </w:p>
    <w:p w14:paraId="4010030A">
      <w:pPr>
        <w:pStyle w:val="12"/>
        <w:keepNext w:val="0"/>
        <w:keepLines w:val="0"/>
        <w:pageBreakBefore w:val="0"/>
        <w:kinsoku/>
        <w:wordWrap/>
        <w:overflowPunct/>
        <w:topLinePunct/>
        <w:autoSpaceDE/>
        <w:autoSpaceDN/>
        <w:bidi w:val="0"/>
        <w:adjustRightInd w:val="0"/>
        <w:spacing w:line="500" w:lineRule="exact"/>
        <w:ind w:firstLine="640"/>
        <w:rPr>
          <w:rFonts w:ascii="仿宋_GB2312" w:hAnsi="仿宋_GB2312" w:eastAsia="仿宋_GB2312" w:cs="仿宋_GB2312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highlight w:val="none"/>
        </w:rPr>
        <w:t>1</w:t>
      </w: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highlight w:val="none"/>
        </w:rPr>
        <w:t>.承包人在承包期间内对</w:t>
      </w:r>
      <w:r>
        <w:rPr>
          <w:rFonts w:hint="eastAsia" w:ascii="仿宋_GB2312" w:hAnsi="仿宋_GB2312" w:eastAsia="仿宋_GB2312" w:cs="仿宋_GB2312"/>
          <w:sz w:val="32"/>
          <w:highlight w:val="none"/>
          <w:lang w:eastAsia="zh-CN"/>
        </w:rPr>
        <w:t>产生</w:t>
      </w:r>
      <w:r>
        <w:rPr>
          <w:rFonts w:hint="eastAsia" w:ascii="仿宋_GB2312" w:hAnsi="仿宋_GB2312" w:eastAsia="仿宋_GB2312" w:cs="仿宋_GB2312"/>
          <w:sz w:val="32"/>
          <w:highlight w:val="none"/>
        </w:rPr>
        <w:t>的债务承担清偿责任，与发包人或股东无关。</w:t>
      </w:r>
    </w:p>
    <w:p w14:paraId="7687BEC1">
      <w:pPr>
        <w:keepNext w:val="0"/>
        <w:keepLines w:val="0"/>
        <w:pageBreakBefore w:val="0"/>
        <w:kinsoku/>
        <w:wordWrap/>
        <w:overflowPunct/>
        <w:topLinePunct/>
        <w:autoSpaceDE/>
        <w:autoSpaceDN/>
        <w:bidi w:val="0"/>
        <w:adjustRightInd w:val="0"/>
        <w:spacing w:line="500" w:lineRule="exact"/>
        <w:ind w:firstLine="640"/>
        <w:rPr>
          <w:rFonts w:hint="eastAsia" w:ascii="仿宋_GB2312" w:hAnsi="仿宋_GB2312" w:eastAsia="仿宋_GB2312" w:cs="仿宋_GB2312"/>
          <w:highlight w:val="none"/>
        </w:rPr>
      </w:pPr>
      <w:r>
        <w:rPr>
          <w:rFonts w:hint="eastAsia" w:ascii="仿宋_GB2312" w:hAnsi="仿宋_GB2312" w:eastAsia="仿宋_GB2312" w:cs="仿宋_GB2312"/>
          <w:highlight w:val="none"/>
        </w:rPr>
        <w:t>1</w:t>
      </w:r>
      <w:r>
        <w:rPr>
          <w:rFonts w:hint="eastAsia" w:ascii="仿宋_GB2312" w:hAnsi="仿宋_GB2312" w:eastAsia="仿宋_GB2312" w:cs="仿宋_GB231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highlight w:val="none"/>
        </w:rPr>
        <w:t>.乙方必须自费为加工厂购买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auto"/>
        </w:rPr>
        <w:t>足额的</w:t>
      </w:r>
      <w:r>
        <w:rPr>
          <w:rStyle w:val="15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/>
          <w:lang w:val="en-US" w:eastAsia="zh-CN"/>
        </w:rPr>
        <w:t>保险</w:t>
      </w:r>
      <w:r>
        <w:rPr>
          <w:rFonts w:hint="eastAsia" w:ascii="仿宋_GB2312" w:hAnsi="仿宋_GB2312" w:eastAsia="仿宋_GB2312" w:cs="仿宋_GB2312"/>
          <w:highlight w:val="none"/>
        </w:rPr>
        <w:t>，保险单副本须在协议生效后15日内交甲方备案。如乙方未购买，甲方有权代为购买，费用从乙方缴纳的</w:t>
      </w:r>
      <w:r>
        <w:rPr>
          <w:rFonts w:hint="eastAsia" w:ascii="仿宋_GB2312" w:hAnsi="仿宋_GB2312" w:eastAsia="仿宋_GB2312" w:cs="仿宋_GB2312"/>
          <w:highlight w:val="none"/>
          <w:lang w:val="en-US" w:eastAsia="zh-CN"/>
        </w:rPr>
        <w:t>保证</w:t>
      </w:r>
      <w:r>
        <w:rPr>
          <w:rFonts w:hint="eastAsia" w:ascii="仿宋_GB2312" w:hAnsi="仿宋_GB2312" w:eastAsia="仿宋_GB2312" w:cs="仿宋_GB2312"/>
          <w:highlight w:val="none"/>
        </w:rPr>
        <w:t>金中扣除。</w:t>
      </w:r>
    </w:p>
    <w:p w14:paraId="306739D2">
      <w:pPr>
        <w:keepNext w:val="0"/>
        <w:keepLines w:val="0"/>
        <w:pageBreakBefore w:val="0"/>
        <w:kinsoku/>
        <w:wordWrap/>
        <w:overflowPunct/>
        <w:topLinePunct/>
        <w:autoSpaceDE/>
        <w:autoSpaceDN/>
        <w:bidi w:val="0"/>
        <w:adjustRightInd w:val="0"/>
        <w:spacing w:line="500" w:lineRule="exact"/>
        <w:ind w:firstLine="640"/>
        <w:rPr>
          <w:rFonts w:hint="eastAsia" w:ascii="仿宋_GB2312" w:hAnsi="仿宋_GB2312" w:eastAsia="仿宋_GB2312" w:cs="仿宋_GB2312"/>
          <w:color w:val="FF000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12.乙方在合作期内，应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充分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引入当地特色资源和传统工艺，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规范生产流程，打造“东方罗带粽子”品牌，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进行罗带粽子的加工和制造，推动地方特色产业的传承与创新发展，提升区域经济活力与品牌形象力，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补齐产业链短板，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助力乡村全面振兴。</w:t>
      </w:r>
    </w:p>
    <w:p w14:paraId="5C418E4A">
      <w:pPr>
        <w:pStyle w:val="3"/>
        <w:keepNext w:val="0"/>
        <w:keepLines w:val="0"/>
        <w:pageBreakBefore w:val="0"/>
        <w:widowControl/>
        <w:tabs>
          <w:tab w:val="left" w:pos="571"/>
        </w:tabs>
        <w:kinsoku/>
        <w:wordWrap/>
        <w:overflowPunct/>
        <w:topLinePunct/>
        <w:autoSpaceDE/>
        <w:autoSpaceDN/>
        <w:bidi w:val="0"/>
        <w:adjustRightInd w:val="0"/>
        <w:spacing w:line="500" w:lineRule="exact"/>
        <w:ind w:firstLine="640"/>
        <w:rPr>
          <w:rFonts w:ascii="黑体" w:hAnsi="黑体" w:eastAsia="黑体" w:cs="黑体"/>
          <w:highlight w:val="none"/>
        </w:rPr>
      </w:pPr>
      <w:r>
        <w:rPr>
          <w:rFonts w:hint="eastAsia" w:ascii="黑体" w:hAnsi="黑体" w:eastAsia="黑体" w:cs="黑体"/>
          <w:highlight w:val="none"/>
        </w:rPr>
        <w:t>四、</w:t>
      </w:r>
      <w:r>
        <w:rPr>
          <w:rFonts w:hint="eastAsia" w:ascii="黑体" w:hAnsi="黑体" w:eastAsia="黑体" w:cs="黑体"/>
          <w:highlight w:val="none"/>
          <w:lang w:eastAsia="zh-CN"/>
        </w:rPr>
        <w:t>违约</w:t>
      </w:r>
      <w:r>
        <w:rPr>
          <w:rFonts w:hint="eastAsia" w:ascii="黑体" w:hAnsi="黑体" w:eastAsia="黑体" w:cs="黑体"/>
          <w:highlight w:val="none"/>
        </w:rPr>
        <w:t>责任</w:t>
      </w:r>
    </w:p>
    <w:p w14:paraId="751E5FCB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pacing w:line="500" w:lineRule="exact"/>
        <w:ind w:firstLine="640"/>
        <w:rPr>
          <w:rFonts w:ascii="仿宋_GB2312" w:hAnsi="仿宋_GB2312" w:eastAsia="仿宋_GB2312" w:cs="仿宋_GB2312"/>
          <w:highlight w:val="none"/>
        </w:rPr>
      </w:pPr>
      <w:r>
        <w:rPr>
          <w:rFonts w:hint="eastAsia" w:ascii="仿宋_GB2312" w:hAnsi="仿宋_GB2312" w:eastAsia="仿宋_GB2312" w:cs="仿宋_GB2312"/>
          <w:highlight w:val="none"/>
        </w:rPr>
        <w:t>1.甲乙双方应严格履行本协议约定的义务，任何一方违反本协议约定，均应承担相应的法律责任。</w:t>
      </w:r>
    </w:p>
    <w:p w14:paraId="01532334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pacing w:line="500" w:lineRule="exact"/>
        <w:ind w:firstLine="640"/>
        <w:rPr>
          <w:rFonts w:ascii="仿宋_GB2312" w:hAnsi="仿宋_GB2312" w:eastAsia="仿宋_GB2312" w:cs="仿宋_GB2312"/>
          <w:highlight w:val="none"/>
        </w:rPr>
      </w:pPr>
      <w:r>
        <w:rPr>
          <w:rFonts w:hint="eastAsia" w:ascii="仿宋_GB2312" w:hAnsi="仿宋_GB2312" w:eastAsia="仿宋_GB2312" w:cs="仿宋_GB2312"/>
          <w:highlight w:val="none"/>
        </w:rPr>
        <w:t>2.若甲方未按照本协议约定交付加工厂及相关设备、设施等，导致乙方无法正常开展运营活动，甲方应赔偿乙方因此造成的损失，且乙方有权要求甲方限期整改，逾期未整改的，乙方有权解除本协议。</w:t>
      </w:r>
    </w:p>
    <w:p w14:paraId="3518913F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pacing w:line="500" w:lineRule="exact"/>
        <w:ind w:firstLine="640"/>
        <w:rPr>
          <w:rFonts w:ascii="仿宋_GB2312" w:hAnsi="仿宋_GB2312" w:eastAsia="仿宋_GB2312" w:cs="仿宋_GB2312"/>
          <w:highlight w:val="none"/>
        </w:rPr>
      </w:pPr>
      <w:r>
        <w:rPr>
          <w:rFonts w:hint="eastAsia" w:ascii="仿宋_GB2312" w:hAnsi="仿宋_GB2312" w:eastAsia="仿宋_GB2312" w:cs="仿宋_GB2312"/>
          <w:highlight w:val="none"/>
        </w:rPr>
        <w:t>3.若乙方未按照本协议约定承担</w:t>
      </w:r>
      <w:r>
        <w:rPr>
          <w:rFonts w:hint="eastAsia" w:ascii="仿宋_GB2312" w:hAnsi="仿宋_GB2312" w:eastAsia="仿宋_GB2312" w:cs="仿宋_GB2312"/>
          <w:highlight w:val="none"/>
          <w:lang w:eastAsia="zh-CN"/>
        </w:rPr>
        <w:t>相关</w:t>
      </w:r>
      <w:r>
        <w:rPr>
          <w:rFonts w:hint="eastAsia" w:ascii="仿宋_GB2312" w:hAnsi="仿宋_GB2312" w:eastAsia="仿宋_GB2312" w:cs="仿宋_GB2312"/>
          <w:highlight w:val="none"/>
        </w:rPr>
        <w:t>费用，导致甲方被第三方追偿或遭受损失，乙方应立即向甲方支付相关费用，并赔偿甲方因此造成的全部损失；同时，甲方有权要求乙方限期整改，逾期未整改的，甲方有权解除本协议。</w:t>
      </w:r>
    </w:p>
    <w:p w14:paraId="1237F7FD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pacing w:line="500" w:lineRule="exact"/>
        <w:ind w:firstLine="640"/>
        <w:rPr>
          <w:rFonts w:ascii="仿宋_GB2312" w:hAnsi="仿宋_GB2312" w:eastAsia="仿宋_GB2312" w:cs="仿宋_GB2312"/>
          <w:highlight w:val="none"/>
        </w:rPr>
      </w:pPr>
      <w:r>
        <w:rPr>
          <w:rFonts w:hint="eastAsia" w:ascii="仿宋_GB2312" w:hAnsi="仿宋_GB2312" w:eastAsia="仿宋_GB2312" w:cs="仿宋_GB2312"/>
          <w:highlight w:val="none"/>
        </w:rPr>
        <w:t>4.若乙方擅自将加工厂承包权转让给第三方、将加工厂用于其他用途或处分加工厂及相关设备、设施，甲方有权立即解除本协议，乙方已经支付的费用不予退还，同时有权扣除乙方缴纳的全部</w:t>
      </w:r>
      <w:r>
        <w:rPr>
          <w:rFonts w:hint="eastAsia" w:ascii="仿宋_GB2312" w:hAnsi="仿宋_GB2312" w:eastAsia="仿宋_GB2312" w:cs="仿宋_GB2312"/>
          <w:highlight w:val="none"/>
          <w:lang w:val="en-US" w:eastAsia="zh-CN"/>
        </w:rPr>
        <w:t>保证</w:t>
      </w:r>
      <w:r>
        <w:rPr>
          <w:rFonts w:hint="eastAsia" w:ascii="仿宋_GB2312" w:hAnsi="仿宋_GB2312" w:eastAsia="仿宋_GB2312" w:cs="仿宋_GB2312"/>
          <w:highlight w:val="none"/>
        </w:rPr>
        <w:t>金，并赔偿甲方因此造成的全部损失。</w:t>
      </w:r>
    </w:p>
    <w:p w14:paraId="240DDDF0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pacing w:line="500" w:lineRule="exact"/>
        <w:ind w:firstLine="640"/>
        <w:rPr>
          <w:rFonts w:ascii="仿宋_GB2312" w:hAnsi="仿宋_GB2312" w:eastAsia="仿宋_GB2312" w:cs="仿宋_GB2312"/>
          <w:highlight w:val="none"/>
        </w:rPr>
      </w:pPr>
      <w:r>
        <w:rPr>
          <w:rFonts w:hint="eastAsia" w:ascii="仿宋_GB2312" w:hAnsi="仿宋_GB2312" w:eastAsia="仿宋_GB2312" w:cs="仿宋_GB2312"/>
          <w:highlight w:val="none"/>
        </w:rPr>
        <w:t>5.若因乙方原因导致发生产品质量事故或生产安全事故，给甲方或第三方造成损失的，乙方应承担全部赔偿责任；若该事故情节严重，构成犯罪的，乙方应承担相应的刑事责任，</w:t>
      </w:r>
      <w:r>
        <w:rPr>
          <w:rFonts w:hint="eastAsia" w:ascii="仿宋_GB2312" w:hAnsi="仿宋_GB2312" w:eastAsia="仿宋_GB2312" w:cs="仿宋_GB2312"/>
          <w:highlight w:val="none"/>
          <w:lang w:eastAsia="zh-CN"/>
        </w:rPr>
        <w:t>与甲方无关，</w:t>
      </w:r>
      <w:r>
        <w:rPr>
          <w:rFonts w:hint="eastAsia" w:ascii="仿宋_GB2312" w:hAnsi="仿宋_GB2312" w:eastAsia="仿宋_GB2312" w:cs="仿宋_GB2312"/>
          <w:highlight w:val="none"/>
        </w:rPr>
        <w:t>甲方有权解除本协议。</w:t>
      </w:r>
      <w:r>
        <w:rPr>
          <w:rFonts w:hint="eastAsia" w:ascii="仿宋_GB2312" w:hAnsi="仿宋_GB2312" w:eastAsia="仿宋_GB2312" w:cs="仿宋_GB2312"/>
          <w:highlight w:val="none"/>
          <w:lang w:eastAsia="zh-CN"/>
        </w:rPr>
        <w:t>如甲方先行垫付相关费用的，甲方有权向乙方追偿。</w:t>
      </w:r>
    </w:p>
    <w:p w14:paraId="79810B66">
      <w:pPr>
        <w:pStyle w:val="3"/>
        <w:keepNext w:val="0"/>
        <w:keepLines w:val="0"/>
        <w:pageBreakBefore w:val="0"/>
        <w:widowControl/>
        <w:tabs>
          <w:tab w:val="left" w:pos="571"/>
        </w:tabs>
        <w:kinsoku/>
        <w:wordWrap/>
        <w:overflowPunct/>
        <w:topLinePunct/>
        <w:autoSpaceDE/>
        <w:autoSpaceDN/>
        <w:bidi w:val="0"/>
        <w:adjustRightInd w:val="0"/>
        <w:spacing w:line="500" w:lineRule="exact"/>
        <w:ind w:firstLine="640"/>
        <w:rPr>
          <w:rFonts w:ascii="黑体" w:hAnsi="黑体" w:eastAsia="黑体" w:cs="黑体"/>
          <w:highlight w:val="none"/>
        </w:rPr>
      </w:pPr>
      <w:r>
        <w:rPr>
          <w:rFonts w:hint="eastAsia" w:ascii="黑体" w:hAnsi="黑体" w:eastAsia="黑体" w:cs="黑体"/>
          <w:highlight w:val="none"/>
        </w:rPr>
        <w:t>五、协议的变更与解除</w:t>
      </w:r>
    </w:p>
    <w:p w14:paraId="5587E3BD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pacing w:line="500" w:lineRule="exact"/>
        <w:ind w:firstLine="640"/>
        <w:rPr>
          <w:rFonts w:ascii="仿宋_GB2312" w:hAnsi="仿宋_GB2312" w:eastAsia="仿宋_GB2312" w:cs="仿宋_GB2312"/>
          <w:highlight w:val="none"/>
        </w:rPr>
      </w:pPr>
      <w:r>
        <w:rPr>
          <w:rFonts w:hint="eastAsia" w:ascii="仿宋_GB2312" w:hAnsi="仿宋_GB2312" w:eastAsia="仿宋_GB2312" w:cs="仿宋_GB2312"/>
          <w:highlight w:val="none"/>
        </w:rPr>
        <w:t>本协议的变更或补充，须经甲乙双方协商一致，并签订书面补充协议，补充协议与本协议具有同等法律效力。</w:t>
      </w:r>
    </w:p>
    <w:p w14:paraId="0574C0C3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pacing w:line="500" w:lineRule="exact"/>
        <w:ind w:firstLine="640"/>
        <w:rPr>
          <w:rFonts w:ascii="仿宋_GB2312" w:hAnsi="仿宋_GB2312" w:eastAsia="仿宋_GB2312" w:cs="仿宋_GB2312"/>
          <w:highlight w:val="none"/>
        </w:rPr>
      </w:pPr>
      <w:r>
        <w:rPr>
          <w:rFonts w:hint="eastAsia" w:ascii="仿宋_GB2312" w:hAnsi="仿宋_GB2312" w:eastAsia="仿宋_GB2312" w:cs="仿宋_GB2312"/>
          <w:highlight w:val="none"/>
        </w:rPr>
        <w:t>1.发生下列情况之一的，一方有权解除本协议：</w:t>
      </w:r>
    </w:p>
    <w:p w14:paraId="44213CA7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pacing w:line="500" w:lineRule="exact"/>
        <w:ind w:firstLine="640"/>
        <w:jc w:val="left"/>
        <w:rPr>
          <w:rFonts w:ascii="仿宋_GB2312" w:hAnsi="仿宋_GB2312" w:eastAsia="仿宋_GB2312" w:cs="仿宋_GB2312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highlight w:val="none"/>
          <w:lang w:bidi="ar"/>
        </w:rPr>
        <w:t>（1）另一方严重违反本协议约定，经催告后在合理期限内仍未改正的；</w:t>
      </w:r>
    </w:p>
    <w:p w14:paraId="4216FCBD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pacing w:line="500" w:lineRule="exact"/>
        <w:ind w:firstLine="640"/>
        <w:jc w:val="left"/>
        <w:rPr>
          <w:rFonts w:ascii="仿宋_GB2312" w:hAnsi="仿宋_GB2312" w:eastAsia="仿宋_GB2312" w:cs="仿宋_GB2312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highlight w:val="none"/>
          <w:lang w:bidi="ar"/>
        </w:rPr>
        <w:t>（2）另一方破产、清算、解散或被吊销营业执照，无法继续履行本协议的；</w:t>
      </w:r>
    </w:p>
    <w:p w14:paraId="26ABE50A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pacing w:line="500" w:lineRule="exact"/>
        <w:ind w:firstLine="640"/>
        <w:jc w:val="left"/>
        <w:rPr>
          <w:rFonts w:ascii="仿宋_GB2312" w:hAnsi="仿宋_GB2312" w:eastAsia="仿宋_GB2312" w:cs="仿宋_GB2312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highlight w:val="none"/>
          <w:lang w:bidi="ar"/>
        </w:rPr>
        <w:t>（3）因不可抗力（如自然灾害、战争、政策调整等）导致本协议无法继续履行，且双方无法协商达成解决方案的；</w:t>
      </w:r>
    </w:p>
    <w:p w14:paraId="34E66C9B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pacing w:line="500" w:lineRule="exact"/>
        <w:ind w:firstLine="640"/>
        <w:jc w:val="left"/>
        <w:rPr>
          <w:rFonts w:ascii="仿宋_GB2312" w:hAnsi="仿宋_GB2312" w:eastAsia="仿宋_GB2312" w:cs="仿宋_GB2312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highlight w:val="none"/>
          <w:lang w:bidi="ar"/>
        </w:rPr>
        <w:t>（4）本协议约定的其他可以解除协议的情形。</w:t>
      </w:r>
    </w:p>
    <w:p w14:paraId="327A9A6D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pacing w:line="500" w:lineRule="exact"/>
        <w:ind w:firstLine="640"/>
        <w:rPr>
          <w:rFonts w:ascii="仿宋_GB2312" w:hAnsi="仿宋_GB2312" w:eastAsia="仿宋_GB2312" w:cs="仿宋_GB2312"/>
          <w:highlight w:val="none"/>
        </w:rPr>
      </w:pPr>
      <w:r>
        <w:rPr>
          <w:rFonts w:hint="eastAsia" w:ascii="仿宋_GB2312" w:hAnsi="仿宋_GB2312" w:eastAsia="仿宋_GB2312" w:cs="仿宋_GB2312"/>
          <w:highlight w:val="none"/>
        </w:rPr>
        <w:t>2.除因不可抗力解除需提前30日通知外，依据上述本条第1款第(1)、(2)、(4)项约定解除本协议的，解除通知送达对方时协议立即解除。协议解除后，双方应按照本协议约定进行善后处理，包括但不限于财产交接、费用结算、损失赔偿等。</w:t>
      </w:r>
    </w:p>
    <w:p w14:paraId="427C8195">
      <w:pPr>
        <w:pStyle w:val="3"/>
        <w:keepNext w:val="0"/>
        <w:keepLines w:val="0"/>
        <w:pageBreakBefore w:val="0"/>
        <w:widowControl/>
        <w:tabs>
          <w:tab w:val="left" w:pos="571"/>
        </w:tabs>
        <w:kinsoku/>
        <w:wordWrap/>
        <w:overflowPunct/>
        <w:topLinePunct/>
        <w:autoSpaceDE/>
        <w:autoSpaceDN/>
        <w:bidi w:val="0"/>
        <w:adjustRightInd w:val="0"/>
        <w:spacing w:line="500" w:lineRule="exact"/>
        <w:ind w:firstLine="640"/>
        <w:rPr>
          <w:rFonts w:ascii="黑体" w:hAnsi="黑体" w:eastAsia="黑体" w:cs="黑体"/>
          <w:highlight w:val="none"/>
        </w:rPr>
      </w:pPr>
      <w:r>
        <w:rPr>
          <w:rFonts w:hint="eastAsia" w:ascii="黑体" w:hAnsi="黑体" w:eastAsia="黑体" w:cs="黑体"/>
          <w:highlight w:val="none"/>
        </w:rPr>
        <w:t>六、争议解决</w:t>
      </w:r>
    </w:p>
    <w:p w14:paraId="1D82C97C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pacing w:line="500" w:lineRule="exact"/>
        <w:ind w:firstLine="640"/>
        <w:rPr>
          <w:rFonts w:ascii="仿宋_GB2312" w:hAnsi="仿宋_GB2312" w:eastAsia="仿宋_GB2312" w:cs="仿宋_GB2312"/>
          <w:color w:val="FF0000"/>
          <w:highlight w:val="none"/>
        </w:rPr>
      </w:pPr>
      <w:r>
        <w:rPr>
          <w:rFonts w:hint="eastAsia" w:ascii="仿宋_GB2312" w:hAnsi="仿宋_GB2312" w:eastAsia="仿宋_GB2312" w:cs="仿宋_GB2312"/>
          <w:highlight w:val="none"/>
        </w:rPr>
        <w:t>1.甲乙双方在履行本协议过程中发生的任何争议，应首先通过友好协商解决；协商不成的，任何一方均有权向加工厂所在地有管辖权的人民法院提起诉讼</w:t>
      </w:r>
      <w:r>
        <w:rPr>
          <w:rFonts w:hint="eastAsia" w:ascii="仿宋_GB2312" w:hAnsi="仿宋_GB2312" w:eastAsia="仿宋_GB2312" w:cs="仿宋_GB231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守约方为主张权益产生的包括律师费，第三方鉴定评估费等全部费用由违约方承担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。</w:t>
      </w:r>
    </w:p>
    <w:p w14:paraId="1DE53A21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pacing w:line="500" w:lineRule="exact"/>
        <w:ind w:firstLine="640"/>
        <w:rPr>
          <w:rFonts w:ascii="仿宋_GB2312" w:hAnsi="仿宋_GB2312" w:eastAsia="仿宋_GB2312" w:cs="仿宋_GB2312"/>
          <w:highlight w:val="none"/>
        </w:rPr>
      </w:pPr>
      <w:r>
        <w:rPr>
          <w:rFonts w:hint="eastAsia" w:ascii="仿宋_GB2312" w:hAnsi="仿宋_GB2312" w:eastAsia="仿宋_GB2312" w:cs="仿宋_GB2312"/>
          <w:highlight w:val="none"/>
        </w:rPr>
        <w:t>2.在争议解决期间，除争议事项外，双方应继续履行本协议其他条款。</w:t>
      </w:r>
    </w:p>
    <w:p w14:paraId="30AAB43A">
      <w:pPr>
        <w:pStyle w:val="3"/>
        <w:keepNext w:val="0"/>
        <w:keepLines w:val="0"/>
        <w:pageBreakBefore w:val="0"/>
        <w:widowControl/>
        <w:tabs>
          <w:tab w:val="left" w:pos="571"/>
        </w:tabs>
        <w:kinsoku/>
        <w:wordWrap/>
        <w:overflowPunct/>
        <w:topLinePunct/>
        <w:autoSpaceDE/>
        <w:autoSpaceDN/>
        <w:bidi w:val="0"/>
        <w:adjustRightInd w:val="0"/>
        <w:spacing w:line="500" w:lineRule="exact"/>
        <w:ind w:firstLine="640"/>
        <w:rPr>
          <w:rFonts w:ascii="黑体" w:hAnsi="黑体" w:eastAsia="黑体" w:cs="黑体"/>
          <w:highlight w:val="none"/>
        </w:rPr>
      </w:pPr>
      <w:r>
        <w:rPr>
          <w:rFonts w:hint="eastAsia" w:ascii="黑体" w:hAnsi="黑体" w:eastAsia="黑体" w:cs="黑体"/>
          <w:highlight w:val="none"/>
        </w:rPr>
        <w:t>七、其他条款</w:t>
      </w:r>
    </w:p>
    <w:p w14:paraId="481C67C3">
      <w:pPr>
        <w:keepNext w:val="0"/>
        <w:keepLines w:val="0"/>
        <w:pageBreakBefore w:val="0"/>
        <w:kinsoku/>
        <w:wordWrap/>
        <w:overflowPunct/>
        <w:topLinePunct/>
        <w:autoSpaceDE/>
        <w:autoSpaceDN/>
        <w:bidi w:val="0"/>
        <w:adjustRightInd w:val="0"/>
        <w:spacing w:line="500" w:lineRule="exact"/>
        <w:ind w:firstLine="643"/>
        <w:rPr>
          <w:rFonts w:ascii="楷体_GB2312" w:hAnsi="楷体_GB2312" w:eastAsia="楷体_GB2312" w:cs="楷体_GB2312"/>
          <w:b/>
          <w:bCs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highlight w:val="none"/>
        </w:rPr>
        <w:t>（一）文件往来、通讯和通知条款</w:t>
      </w:r>
    </w:p>
    <w:p w14:paraId="53CBCF21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pacing w:line="500" w:lineRule="exact"/>
        <w:ind w:firstLine="640"/>
        <w:rPr>
          <w:rFonts w:ascii="仿宋_GB2312" w:hAnsi="仿宋_GB2312" w:eastAsia="仿宋_GB2312" w:cs="仿宋_GB2312"/>
          <w:highlight w:val="none"/>
        </w:rPr>
      </w:pPr>
      <w:r>
        <w:rPr>
          <w:rFonts w:hint="eastAsia" w:ascii="仿宋_GB2312" w:hAnsi="仿宋_GB2312" w:eastAsia="仿宋_GB2312" w:cs="仿宋_GB2312"/>
          <w:highlight w:val="none"/>
        </w:rPr>
        <w:t>1.本合同项下的任何文件往来、通讯和通知均应以书面形式按如下地址、电传号或其他联系方式送达对方：</w:t>
      </w:r>
    </w:p>
    <w:p w14:paraId="2AF00D3D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pacing w:line="500" w:lineRule="exact"/>
        <w:ind w:firstLine="640"/>
        <w:rPr>
          <w:rFonts w:hint="eastAsia" w:ascii="仿宋_GB2312" w:hAnsi="仿宋_GB2312" w:eastAsia="仿宋_GB2312" w:cs="仿宋_GB2312"/>
          <w:highlight w:val="none"/>
        </w:rPr>
      </w:pPr>
    </w:p>
    <w:p w14:paraId="7BE82117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pacing w:line="500" w:lineRule="exact"/>
        <w:ind w:firstLine="640"/>
        <w:rPr>
          <w:rFonts w:ascii="仿宋_GB2312" w:hAnsi="仿宋_GB2312" w:eastAsia="仿宋_GB2312" w:cs="仿宋_GB2312"/>
          <w:highlight w:val="none"/>
        </w:rPr>
      </w:pPr>
      <w:r>
        <w:rPr>
          <w:rFonts w:hint="eastAsia" w:ascii="仿宋_GB2312" w:hAnsi="仿宋_GB2312" w:eastAsia="仿宋_GB2312" w:cs="仿宋_GB2312"/>
          <w:highlight w:val="none"/>
        </w:rPr>
        <w:t>甲方联系人：施乐</w:t>
      </w:r>
    </w:p>
    <w:p w14:paraId="3A3174F3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pacing w:line="500" w:lineRule="exact"/>
        <w:ind w:firstLine="640"/>
        <w:rPr>
          <w:rFonts w:ascii="仿宋_GB2312" w:hAnsi="仿宋_GB2312" w:eastAsia="仿宋_GB2312" w:cs="仿宋_GB2312"/>
          <w:highlight w:val="none"/>
        </w:rPr>
      </w:pPr>
      <w:r>
        <w:rPr>
          <w:rFonts w:hint="eastAsia" w:ascii="仿宋_GB2312" w:hAnsi="仿宋_GB2312" w:eastAsia="仿宋_GB2312" w:cs="仿宋_GB2312"/>
          <w:highlight w:val="none"/>
        </w:rPr>
        <w:t>联系电话：15501876635</w:t>
      </w:r>
    </w:p>
    <w:p w14:paraId="7BE00673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pacing w:line="500" w:lineRule="exact"/>
        <w:ind w:firstLine="640"/>
        <w:rPr>
          <w:rFonts w:hint="eastAsia" w:ascii="仿宋_GB2312" w:hAnsi="仿宋_GB2312" w:eastAsia="仿宋_GB2312" w:cs="仿宋_GB2312"/>
          <w:highlight w:val="none"/>
        </w:rPr>
      </w:pPr>
      <w:r>
        <w:rPr>
          <w:rFonts w:hint="eastAsia" w:ascii="仿宋_GB2312" w:hAnsi="仿宋_GB2312" w:eastAsia="仿宋_GB2312" w:cs="仿宋_GB2312"/>
          <w:highlight w:val="none"/>
        </w:rPr>
        <w:t>通讯地址：海南省东方市八所镇东海路22号林业大厦3楼</w:t>
      </w:r>
    </w:p>
    <w:p w14:paraId="70CDFB2A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pacing w:line="500" w:lineRule="exact"/>
        <w:ind w:firstLine="640"/>
        <w:rPr>
          <w:rFonts w:hint="eastAsia" w:ascii="仿宋_GB2312" w:hAnsi="仿宋_GB2312" w:eastAsia="仿宋_GB2312" w:cs="仿宋_GB2312"/>
          <w:highlight w:val="none"/>
        </w:rPr>
      </w:pPr>
    </w:p>
    <w:p w14:paraId="6B870184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pacing w:line="500" w:lineRule="exact"/>
        <w:ind w:firstLine="640"/>
        <w:rPr>
          <w:rFonts w:hint="eastAsia" w:ascii="仿宋_GB2312" w:hAnsi="仿宋_GB2312" w:eastAsia="仿宋_GB2312" w:cs="仿宋_GB2312"/>
          <w:highlight w:val="none"/>
        </w:rPr>
      </w:pPr>
      <w:r>
        <w:rPr>
          <w:rFonts w:hint="eastAsia" w:ascii="仿宋_GB2312" w:hAnsi="仿宋_GB2312" w:eastAsia="仿宋_GB2312" w:cs="仿宋_GB2312"/>
          <w:highlight w:val="none"/>
        </w:rPr>
        <w:t>乙方联系人：</w:t>
      </w:r>
    </w:p>
    <w:p w14:paraId="7F904F73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pacing w:line="500" w:lineRule="exact"/>
        <w:ind w:firstLine="640"/>
        <w:rPr>
          <w:rFonts w:ascii="仿宋_GB2312" w:hAnsi="仿宋_GB2312" w:eastAsia="仿宋_GB2312" w:cs="仿宋_GB2312"/>
          <w:highlight w:val="none"/>
        </w:rPr>
      </w:pPr>
      <w:r>
        <w:rPr>
          <w:rFonts w:hint="eastAsia" w:ascii="仿宋_GB2312" w:hAnsi="仿宋_GB2312" w:eastAsia="仿宋_GB2312" w:cs="仿宋_GB2312"/>
          <w:highlight w:val="none"/>
        </w:rPr>
        <w:t>联系电话：</w:t>
      </w:r>
    </w:p>
    <w:p w14:paraId="2751CFC2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pacing w:line="500" w:lineRule="exact"/>
        <w:ind w:firstLine="640"/>
        <w:rPr>
          <w:rFonts w:ascii="仿宋_GB2312" w:hAnsi="仿宋_GB2312" w:eastAsia="仿宋_GB2312" w:cs="仿宋_GB2312"/>
          <w:highlight w:val="none"/>
        </w:rPr>
      </w:pPr>
      <w:r>
        <w:rPr>
          <w:rFonts w:hint="eastAsia" w:ascii="仿宋_GB2312" w:hAnsi="仿宋_GB2312" w:eastAsia="仿宋_GB2312" w:cs="仿宋_GB2312"/>
          <w:highlight w:val="none"/>
        </w:rPr>
        <w:t>通讯地址：</w:t>
      </w:r>
    </w:p>
    <w:p w14:paraId="348D711E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pacing w:line="500" w:lineRule="exact"/>
        <w:ind w:firstLine="640"/>
        <w:rPr>
          <w:rFonts w:ascii="仿宋_GB2312" w:hAnsi="仿宋_GB2312" w:eastAsia="仿宋_GB2312" w:cs="仿宋_GB2312"/>
          <w:highlight w:val="none"/>
        </w:rPr>
      </w:pPr>
      <w:r>
        <w:rPr>
          <w:rFonts w:hint="eastAsia" w:ascii="仿宋_GB2312" w:hAnsi="仿宋_GB2312" w:eastAsia="仿宋_GB2312" w:cs="仿宋_GB2312"/>
          <w:highlight w:val="none"/>
        </w:rPr>
        <w:t>2.如本合同任何一方的上述联系方法发生变化，应毫不迟延地以任何快捷方式通知对方。一方未及时通知对方的，合同另一方按未通知前的联系方法送达文件、通讯和通知，一切后果由未通知方承担。</w:t>
      </w:r>
    </w:p>
    <w:p w14:paraId="1875F737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pacing w:line="500" w:lineRule="exact"/>
        <w:ind w:firstLine="640"/>
        <w:rPr>
          <w:rFonts w:ascii="仿宋_GB2312" w:hAnsi="仿宋_GB2312" w:eastAsia="仿宋_GB2312" w:cs="仿宋_GB2312"/>
          <w:highlight w:val="none"/>
        </w:rPr>
      </w:pPr>
      <w:r>
        <w:rPr>
          <w:rFonts w:hint="eastAsia" w:ascii="仿宋_GB2312" w:hAnsi="仿宋_GB2312" w:eastAsia="仿宋_GB2312" w:cs="仿宋_GB2312"/>
          <w:highlight w:val="none"/>
        </w:rPr>
        <w:t>3.任何文件、通讯和通知只要按照上述地址发送，即应视作在下列日期被送达:</w:t>
      </w:r>
    </w:p>
    <w:p w14:paraId="5D23D93F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pacing w:line="500" w:lineRule="exact"/>
        <w:ind w:firstLine="640"/>
        <w:rPr>
          <w:rFonts w:ascii="仿宋_GB2312" w:hAnsi="仿宋_GB2312" w:eastAsia="仿宋_GB2312" w:cs="仿宋_GB2312"/>
          <w:highlight w:val="none"/>
        </w:rPr>
      </w:pPr>
      <w:r>
        <w:rPr>
          <w:rFonts w:hint="eastAsia" w:ascii="仿宋_GB2312" w:hAnsi="仿宋_GB2312" w:eastAsia="仿宋_GB2312" w:cs="仿宋_GB2312"/>
          <w:highlight w:val="none"/>
        </w:rPr>
        <w:t>（1）邮递（包括特快专递、平信邮寄、挂号邮寄），以邮寄之日后的第五个工作日视为送达日；</w:t>
      </w:r>
    </w:p>
    <w:p w14:paraId="1B09ABFB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pacing w:line="500" w:lineRule="exact"/>
        <w:ind w:firstLine="640"/>
        <w:rPr>
          <w:rFonts w:ascii="仿宋_GB2312" w:hAnsi="仿宋_GB2312" w:eastAsia="仿宋_GB2312" w:cs="仿宋_GB2312"/>
          <w:highlight w:val="none"/>
        </w:rPr>
      </w:pPr>
      <w:r>
        <w:rPr>
          <w:rFonts w:hint="eastAsia" w:ascii="仿宋_GB2312" w:hAnsi="仿宋_GB2312" w:eastAsia="仿宋_GB2312" w:cs="仿宋_GB2312"/>
          <w:highlight w:val="none"/>
        </w:rPr>
        <w:t>（2）传真或其他电子通讯方式，以发送之日视为送达日；</w:t>
      </w:r>
    </w:p>
    <w:p w14:paraId="6470F596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pacing w:line="500" w:lineRule="exact"/>
        <w:ind w:firstLine="640"/>
        <w:rPr>
          <w:rFonts w:ascii="仿宋_GB2312" w:hAnsi="仿宋_GB2312" w:eastAsia="仿宋_GB2312" w:cs="仿宋_GB2312"/>
          <w:highlight w:val="none"/>
        </w:rPr>
      </w:pPr>
      <w:r>
        <w:rPr>
          <w:rFonts w:hint="eastAsia" w:ascii="仿宋_GB2312" w:hAnsi="仿宋_GB2312" w:eastAsia="仿宋_GB2312" w:cs="仿宋_GB2312"/>
          <w:highlight w:val="none"/>
        </w:rPr>
        <w:t>（3）专人送达，以收件人签收或拒收之日视为送达日。</w:t>
      </w:r>
    </w:p>
    <w:p w14:paraId="60B4872C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pacing w:line="500" w:lineRule="exact"/>
        <w:ind w:firstLine="640"/>
        <w:rPr>
          <w:rFonts w:ascii="仿宋_GB2312" w:hAnsi="仿宋_GB2312" w:eastAsia="仿宋_GB2312" w:cs="仿宋_GB2312"/>
          <w:highlight w:val="none"/>
        </w:rPr>
      </w:pPr>
      <w:r>
        <w:rPr>
          <w:rFonts w:hint="eastAsia" w:ascii="仿宋_GB2312" w:hAnsi="仿宋_GB2312" w:eastAsia="仿宋_GB2312" w:cs="仿宋_GB2312"/>
          <w:highlight w:val="none"/>
        </w:rPr>
        <w:t>4.双方约定，双方的单位公章、财务专用章、合同专用章、收发章等是双方文件往来、通讯和通知的有效印章。双方单位所有工作人员是文件往来、通讯和通知的有权签收人。</w:t>
      </w:r>
    </w:p>
    <w:p w14:paraId="1DB714B5">
      <w:pPr>
        <w:keepNext w:val="0"/>
        <w:keepLines w:val="0"/>
        <w:pageBreakBefore w:val="0"/>
        <w:kinsoku/>
        <w:wordWrap/>
        <w:overflowPunct/>
        <w:topLinePunct/>
        <w:autoSpaceDE/>
        <w:autoSpaceDN/>
        <w:bidi w:val="0"/>
        <w:adjustRightInd w:val="0"/>
        <w:spacing w:line="500" w:lineRule="exact"/>
        <w:ind w:firstLine="643"/>
        <w:rPr>
          <w:rFonts w:ascii="楷体_GB2312" w:hAnsi="楷体_GB2312" w:eastAsia="楷体_GB2312" w:cs="楷体_GB2312"/>
          <w:b/>
          <w:bCs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highlight w:val="none"/>
        </w:rPr>
        <w:t>（二）其他条款</w:t>
      </w:r>
    </w:p>
    <w:p w14:paraId="5DB06668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pacing w:line="500" w:lineRule="exact"/>
        <w:ind w:firstLine="640"/>
        <w:rPr>
          <w:rFonts w:ascii="仿宋_GB2312" w:hAnsi="仿宋_GB2312" w:eastAsia="仿宋_GB2312" w:cs="仿宋_GB2312"/>
          <w:highlight w:val="none"/>
        </w:rPr>
      </w:pPr>
      <w:r>
        <w:rPr>
          <w:rFonts w:hint="eastAsia" w:ascii="仿宋_GB2312" w:hAnsi="仿宋_GB2312" w:eastAsia="仿宋_GB2312" w:cs="仿宋_GB2312"/>
          <w:highlight w:val="none"/>
        </w:rPr>
        <w:t>1.本协议自甲乙双方签字盖章之日起生效。本协议一式肆份，甲乙双方各执贰份，具有同等法律效力。</w:t>
      </w:r>
    </w:p>
    <w:p w14:paraId="470182FD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pacing w:line="500" w:lineRule="exact"/>
        <w:ind w:firstLine="640"/>
        <w:rPr>
          <w:rFonts w:ascii="仿宋_GB2312" w:hAnsi="仿宋_GB2312" w:eastAsia="仿宋_GB2312" w:cs="仿宋_GB2312"/>
          <w:highlight w:val="none"/>
        </w:rPr>
      </w:pPr>
      <w:r>
        <w:rPr>
          <w:rFonts w:hint="eastAsia" w:ascii="仿宋_GB2312" w:hAnsi="仿宋_GB2312" w:eastAsia="仿宋_GB2312" w:cs="仿宋_GB2312"/>
          <w:highlight w:val="none"/>
        </w:rPr>
        <w:t>2.本协议附件（包括但不限于加工厂设备设施清单等）是本协议不可分割的组成部分，与本协议具有同等法律效力。</w:t>
      </w:r>
    </w:p>
    <w:p w14:paraId="0DF76E34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pacing w:line="500" w:lineRule="exact"/>
        <w:ind w:firstLine="640"/>
        <w:rPr>
          <w:rFonts w:hint="eastAsia" w:ascii="仿宋_GB2312" w:hAnsi="仿宋_GB2312" w:eastAsia="仿宋_GB2312" w:cs="仿宋_GB2312"/>
          <w:highlight w:val="none"/>
        </w:rPr>
      </w:pPr>
      <w:r>
        <w:rPr>
          <w:rFonts w:hint="eastAsia" w:ascii="仿宋_GB2312" w:hAnsi="仿宋_GB2312" w:eastAsia="仿宋_GB2312" w:cs="仿宋_GB2312"/>
          <w:highlight w:val="none"/>
        </w:rPr>
        <w:t>3.本协议未尽事宜，甲乙双方另行协商并签订补充协议。</w:t>
      </w:r>
    </w:p>
    <w:p w14:paraId="4F49F464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pacing w:line="500" w:lineRule="exact"/>
        <w:ind w:left="0" w:leftChars="0" w:firstLine="0" w:firstLineChars="0"/>
        <w:rPr>
          <w:rStyle w:val="20"/>
          <w:rFonts w:hint="eastAsia" w:ascii="仿宋_GB2312" w:hAnsi="仿宋" w:eastAsia="仿宋_GB2312" w:cs="仿宋"/>
          <w:bCs/>
          <w:highlight w:val="none"/>
        </w:rPr>
      </w:pPr>
    </w:p>
    <w:p w14:paraId="31BC59CF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pacing w:line="500" w:lineRule="exact"/>
        <w:ind w:left="0" w:leftChars="0" w:firstLine="0" w:firstLineChars="0"/>
        <w:rPr>
          <w:rStyle w:val="20"/>
          <w:rFonts w:hint="eastAsia" w:ascii="仿宋_GB2312" w:hAnsi="仿宋" w:eastAsia="仿宋_GB2312" w:cs="仿宋"/>
          <w:bCs/>
          <w:highlight w:val="none"/>
        </w:rPr>
      </w:pPr>
    </w:p>
    <w:p w14:paraId="264D88A9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pacing w:line="500" w:lineRule="exact"/>
        <w:ind w:left="0" w:leftChars="0" w:firstLine="0" w:firstLineChars="0"/>
        <w:rPr>
          <w:rStyle w:val="20"/>
          <w:rFonts w:hint="eastAsia" w:ascii="仿宋_GB2312" w:hAnsi="仿宋" w:eastAsia="仿宋_GB2312" w:cs="仿宋"/>
          <w:bCs/>
          <w:highlight w:val="none"/>
        </w:rPr>
      </w:pPr>
    </w:p>
    <w:p w14:paraId="6A82D4D9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pacing w:line="500" w:lineRule="exact"/>
        <w:ind w:left="0" w:leftChars="0" w:firstLine="0" w:firstLineChars="0"/>
        <w:rPr>
          <w:rStyle w:val="20"/>
          <w:rFonts w:hint="eastAsia" w:ascii="仿宋_GB2312" w:hAnsi="仿宋" w:eastAsia="仿宋_GB2312" w:cs="仿宋"/>
          <w:bCs/>
          <w:highlight w:val="none"/>
        </w:rPr>
      </w:pPr>
      <w:r>
        <w:rPr>
          <w:rStyle w:val="20"/>
          <w:rFonts w:hint="eastAsia" w:ascii="仿宋_GB2312" w:hAnsi="仿宋" w:eastAsia="仿宋_GB2312" w:cs="仿宋"/>
          <w:bCs/>
          <w:highlight w:val="none"/>
        </w:rPr>
        <w:t>甲方：</w:t>
      </w:r>
    </w:p>
    <w:p w14:paraId="182186CE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pacing w:line="500" w:lineRule="exact"/>
        <w:ind w:left="0" w:leftChars="0" w:firstLine="0" w:firstLineChars="0"/>
        <w:rPr>
          <w:rStyle w:val="20"/>
          <w:rFonts w:hint="eastAsia" w:ascii="仿宋_GB2312" w:hAnsi="仿宋" w:eastAsia="仿宋_GB2312" w:cs="仿宋"/>
          <w:bCs/>
          <w:highlight w:val="none"/>
        </w:rPr>
      </w:pPr>
      <w:r>
        <w:rPr>
          <w:rStyle w:val="20"/>
          <w:rFonts w:hint="eastAsia" w:ascii="仿宋_GB2312" w:hAnsi="仿宋" w:eastAsia="仿宋_GB2312" w:cs="仿宋"/>
          <w:bCs/>
          <w:highlight w:val="none"/>
        </w:rPr>
        <w:t>法定表人</w:t>
      </w:r>
      <w:r>
        <w:rPr>
          <w:rStyle w:val="20"/>
          <w:rFonts w:hint="eastAsia" w:ascii="仿宋_GB2312" w:hAnsi="仿宋" w:eastAsia="仿宋_GB2312" w:cs="仿宋"/>
          <w:bCs/>
          <w:highlight w:val="none"/>
          <w:lang w:val="en-US" w:eastAsia="zh-CN"/>
        </w:rPr>
        <w:t>及授权委托人</w:t>
      </w:r>
      <w:r>
        <w:rPr>
          <w:rStyle w:val="20"/>
          <w:rFonts w:hint="eastAsia" w:ascii="仿宋_GB2312" w:hAnsi="仿宋" w:eastAsia="仿宋_GB2312" w:cs="仿宋"/>
          <w:bCs/>
          <w:highlight w:val="none"/>
        </w:rPr>
        <w:t>:</w:t>
      </w:r>
    </w:p>
    <w:p w14:paraId="02FE3D96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pacing w:line="500" w:lineRule="exact"/>
        <w:ind w:left="0" w:leftChars="0" w:firstLine="0" w:firstLineChars="0"/>
        <w:rPr>
          <w:rStyle w:val="20"/>
          <w:rFonts w:hint="eastAsia" w:ascii="仿宋_GB2312" w:hAnsi="仿宋" w:eastAsia="仿宋_GB2312" w:cs="仿宋"/>
          <w:bCs/>
          <w:highlight w:val="none"/>
        </w:rPr>
      </w:pPr>
    </w:p>
    <w:p w14:paraId="755FED00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pacing w:line="500" w:lineRule="exact"/>
        <w:ind w:left="0" w:leftChars="0" w:firstLine="0" w:firstLineChars="0"/>
        <w:rPr>
          <w:rStyle w:val="20"/>
          <w:rFonts w:hint="eastAsia" w:ascii="仿宋_GB2312" w:hAnsi="仿宋" w:eastAsia="仿宋_GB2312" w:cs="仿宋"/>
          <w:bCs/>
          <w:highlight w:val="none"/>
        </w:rPr>
      </w:pPr>
    </w:p>
    <w:p w14:paraId="0524EF02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pacing w:line="500" w:lineRule="exact"/>
        <w:ind w:left="0" w:leftChars="0" w:firstLine="0" w:firstLineChars="0"/>
        <w:rPr>
          <w:rStyle w:val="20"/>
          <w:rFonts w:ascii="仿宋_GB2312" w:hAnsi="仿宋" w:eastAsia="仿宋_GB2312" w:cs="仿宋"/>
          <w:bCs/>
          <w:highlight w:val="none"/>
        </w:rPr>
      </w:pPr>
      <w:r>
        <w:rPr>
          <w:rStyle w:val="20"/>
          <w:rFonts w:hint="eastAsia" w:ascii="仿宋_GB2312" w:hAnsi="仿宋" w:eastAsia="仿宋_GB2312" w:cs="仿宋"/>
          <w:bCs/>
          <w:highlight w:val="none"/>
        </w:rPr>
        <w:t>乙方：</w:t>
      </w:r>
    </w:p>
    <w:p w14:paraId="3F728E11">
      <w:pPr>
        <w:keepNext w:val="0"/>
        <w:keepLines w:val="0"/>
        <w:pageBreakBefore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after="156" w:afterLines="50" w:line="500" w:lineRule="exact"/>
        <w:ind w:left="0" w:leftChars="0" w:firstLine="0" w:firstLineChars="0"/>
        <w:textAlignment w:val="baseline"/>
        <w:rPr>
          <w:rStyle w:val="20"/>
          <w:rFonts w:hint="eastAsia" w:ascii="仿宋_GB2312" w:hAnsi="仿宋" w:eastAsia="仿宋_GB2312" w:cs="仿宋"/>
          <w:bCs/>
          <w:highlight w:val="none"/>
        </w:rPr>
      </w:pPr>
      <w:r>
        <w:rPr>
          <w:rStyle w:val="20"/>
          <w:rFonts w:hint="eastAsia" w:ascii="仿宋_GB2312" w:hAnsi="仿宋" w:eastAsia="仿宋_GB2312" w:cs="仿宋"/>
          <w:bCs/>
          <w:highlight w:val="none"/>
        </w:rPr>
        <w:t>法定表人</w:t>
      </w:r>
      <w:r>
        <w:rPr>
          <w:rStyle w:val="20"/>
          <w:rFonts w:hint="eastAsia" w:ascii="仿宋_GB2312" w:hAnsi="仿宋" w:eastAsia="仿宋_GB2312" w:cs="仿宋"/>
          <w:bCs/>
          <w:highlight w:val="none"/>
          <w:lang w:val="en-US" w:eastAsia="zh-CN"/>
        </w:rPr>
        <w:t>及授权委托人</w:t>
      </w:r>
      <w:r>
        <w:rPr>
          <w:rStyle w:val="20"/>
          <w:rFonts w:hint="eastAsia" w:ascii="仿宋_GB2312" w:hAnsi="仿宋" w:eastAsia="仿宋_GB2312" w:cs="仿宋"/>
          <w:bCs/>
          <w:highlight w:val="none"/>
        </w:rPr>
        <w:t>:</w:t>
      </w:r>
    </w:p>
    <w:p w14:paraId="6EC7C069">
      <w:pPr>
        <w:keepNext w:val="0"/>
        <w:keepLines w:val="0"/>
        <w:pageBreakBefore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after="156" w:afterLines="50" w:line="500" w:lineRule="exact"/>
        <w:ind w:firstLine="0" w:firstLineChars="0"/>
        <w:textAlignment w:val="baseline"/>
        <w:rPr>
          <w:rStyle w:val="20"/>
          <w:rFonts w:hint="eastAsia" w:ascii="仿宋_GB2312" w:hAnsi="仿宋" w:eastAsia="仿宋_GB2312" w:cs="仿宋"/>
          <w:bCs/>
          <w:highlight w:val="none"/>
        </w:rPr>
      </w:pPr>
    </w:p>
    <w:p w14:paraId="443FE35C">
      <w:pPr>
        <w:keepNext w:val="0"/>
        <w:keepLines w:val="0"/>
        <w:pageBreakBefore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after="156" w:afterLines="50" w:line="500" w:lineRule="exact"/>
        <w:ind w:firstLine="0" w:firstLineChars="0"/>
        <w:textAlignment w:val="baseline"/>
        <w:rPr>
          <w:rStyle w:val="20"/>
          <w:rFonts w:hint="eastAsia" w:ascii="仿宋_GB2312" w:hAnsi="仿宋" w:eastAsia="仿宋_GB2312" w:cs="仿宋"/>
          <w:bCs/>
          <w:highlight w:val="none"/>
        </w:rPr>
      </w:pPr>
    </w:p>
    <w:p w14:paraId="433DC666">
      <w:pPr>
        <w:keepNext w:val="0"/>
        <w:keepLines w:val="0"/>
        <w:pageBreakBefore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after="156" w:afterLines="50" w:line="500" w:lineRule="exact"/>
        <w:ind w:firstLine="0" w:firstLineChars="0"/>
        <w:textAlignment w:val="baseline"/>
        <w:rPr>
          <w:rStyle w:val="20"/>
          <w:rFonts w:ascii="仿宋_GB2312" w:hAnsi="仿宋" w:eastAsia="仿宋_GB2312" w:cs="仿宋"/>
          <w:bCs/>
          <w:highlight w:val="none"/>
        </w:rPr>
      </w:pPr>
      <w:r>
        <w:rPr>
          <w:rStyle w:val="20"/>
          <w:rFonts w:hint="eastAsia" w:ascii="仿宋_GB2312" w:hAnsi="仿宋" w:eastAsia="仿宋_GB2312" w:cs="仿宋"/>
          <w:bCs/>
          <w:highlight w:val="none"/>
        </w:rPr>
        <w:t>签约地点：海南省东方市</w:t>
      </w:r>
    </w:p>
    <w:p w14:paraId="299932AC">
      <w:pPr>
        <w:keepNext w:val="0"/>
        <w:keepLines w:val="0"/>
        <w:pageBreakBefore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after="156" w:afterLines="50" w:line="500" w:lineRule="exact"/>
        <w:ind w:firstLine="0" w:firstLineChars="0"/>
        <w:textAlignment w:val="baseline"/>
        <w:rPr>
          <w:rStyle w:val="20"/>
          <w:rFonts w:ascii="仿宋_GB2312" w:hAnsi="仿宋" w:eastAsia="仿宋_GB2312" w:cs="仿宋"/>
          <w:bCs/>
          <w:highlight w:val="none"/>
        </w:rPr>
      </w:pPr>
      <w:r>
        <w:rPr>
          <w:rStyle w:val="20"/>
          <w:rFonts w:hint="eastAsia" w:ascii="仿宋_GB2312" w:hAnsi="仿宋" w:eastAsia="仿宋_GB2312" w:cs="仿宋"/>
          <w:bCs/>
          <w:highlight w:val="none"/>
        </w:rPr>
        <w:t>日期：            年     月    日</w:t>
      </w:r>
    </w:p>
    <w:p w14:paraId="18153667">
      <w:pPr>
        <w:ind w:firstLine="640"/>
        <w:rPr>
          <w:rFonts w:ascii="仿宋_GB2312" w:hAnsi="仿宋_GB2312" w:eastAsia="仿宋_GB2312" w:cs="仿宋_GB2312"/>
          <w:kern w:val="0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highlight w:val="none"/>
          <w:lang w:bidi="ar"/>
        </w:rPr>
        <w:br w:type="page"/>
      </w:r>
    </w:p>
    <w:p w14:paraId="38EB2061">
      <w:pPr>
        <w:widowControl/>
        <w:spacing w:line="240" w:lineRule="auto"/>
        <w:ind w:firstLine="0" w:firstLineChars="0"/>
        <w:jc w:val="left"/>
        <w:rPr>
          <w:rFonts w:ascii="仿宋_GB2312" w:hAnsi="仿宋_GB2312" w:eastAsia="仿宋_GB2312" w:cs="仿宋_GB2312"/>
          <w:b/>
          <w:bCs/>
          <w:highlight w:val="none"/>
          <w:vertAlign w:val="baseline"/>
        </w:rPr>
      </w:pPr>
      <w:r>
        <w:rPr>
          <w:rFonts w:hint="eastAsia" w:ascii="仿宋_GB2312" w:hAnsi="仿宋_GB2312" w:eastAsia="仿宋_GB2312" w:cs="仿宋_GB2312"/>
          <w:b/>
          <w:bCs/>
          <w:kern w:val="0"/>
          <w:highlight w:val="none"/>
          <w:lang w:bidi="ar"/>
        </w:rPr>
        <w:t>附件一：“东方特色加工厂”设备设施清单</w:t>
      </w: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2605"/>
        <w:gridCol w:w="1036"/>
        <w:gridCol w:w="3982"/>
      </w:tblGrid>
      <w:tr w14:paraId="4EE7A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" w:type="dxa"/>
          </w:tcPr>
          <w:p w14:paraId="4487EEAF"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2605" w:type="dxa"/>
          </w:tcPr>
          <w:p w14:paraId="74EC97EB"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名称</w:t>
            </w:r>
          </w:p>
        </w:tc>
        <w:tc>
          <w:tcPr>
            <w:tcW w:w="1036" w:type="dxa"/>
          </w:tcPr>
          <w:p w14:paraId="066147BE"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数量</w:t>
            </w:r>
          </w:p>
        </w:tc>
        <w:tc>
          <w:tcPr>
            <w:tcW w:w="3982" w:type="dxa"/>
          </w:tcPr>
          <w:p w14:paraId="07DCD8AD"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规格</w:t>
            </w:r>
          </w:p>
        </w:tc>
      </w:tr>
      <w:tr w14:paraId="334EA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899" w:type="dxa"/>
            <w:shd w:val="clear" w:color="auto" w:fill="auto"/>
            <w:vAlign w:val="top"/>
          </w:tcPr>
          <w:p w14:paraId="142EA980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  <w:t>1</w:t>
            </w:r>
          </w:p>
        </w:tc>
        <w:tc>
          <w:tcPr>
            <w:tcW w:w="2605" w:type="dxa"/>
            <w:shd w:val="clear" w:color="auto" w:fill="auto"/>
            <w:vAlign w:val="top"/>
          </w:tcPr>
          <w:p w14:paraId="6A86CC4E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  <w:t>粽子蒸煮锅</w:t>
            </w:r>
          </w:p>
        </w:tc>
        <w:tc>
          <w:tcPr>
            <w:tcW w:w="1036" w:type="dxa"/>
            <w:shd w:val="clear" w:color="auto" w:fill="auto"/>
            <w:vAlign w:val="top"/>
          </w:tcPr>
          <w:p w14:paraId="37F7378C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  <w:t>2</w:t>
            </w:r>
          </w:p>
        </w:tc>
        <w:tc>
          <w:tcPr>
            <w:tcW w:w="3982" w:type="dxa"/>
            <w:shd w:val="clear" w:color="auto" w:fill="auto"/>
            <w:vAlign w:val="top"/>
          </w:tcPr>
          <w:p w14:paraId="02C5567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  <w:t>1650*1450*1950㎜</w:t>
            </w:r>
          </w:p>
        </w:tc>
      </w:tr>
      <w:tr w14:paraId="57518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899" w:type="dxa"/>
            <w:shd w:val="clear" w:color="auto" w:fill="auto"/>
            <w:vAlign w:val="top"/>
          </w:tcPr>
          <w:p w14:paraId="44022ECE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  <w:t>2</w:t>
            </w:r>
          </w:p>
        </w:tc>
        <w:tc>
          <w:tcPr>
            <w:tcW w:w="2605" w:type="dxa"/>
            <w:shd w:val="clear" w:color="auto" w:fill="auto"/>
            <w:vAlign w:val="top"/>
          </w:tcPr>
          <w:p w14:paraId="26D981D6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  <w:t>粽子灭菌锅</w:t>
            </w:r>
          </w:p>
        </w:tc>
        <w:tc>
          <w:tcPr>
            <w:tcW w:w="1036" w:type="dxa"/>
            <w:shd w:val="clear" w:color="auto" w:fill="auto"/>
            <w:vAlign w:val="top"/>
          </w:tcPr>
          <w:p w14:paraId="100CE50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  <w:t>2</w:t>
            </w:r>
          </w:p>
        </w:tc>
        <w:tc>
          <w:tcPr>
            <w:tcW w:w="3982" w:type="dxa"/>
            <w:shd w:val="clear" w:color="auto" w:fill="auto"/>
            <w:vAlign w:val="top"/>
          </w:tcPr>
          <w:p w14:paraId="6CCADDC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  <w:t>3850*1750*1750mm</w:t>
            </w:r>
          </w:p>
        </w:tc>
      </w:tr>
      <w:tr w14:paraId="0DA05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899" w:type="dxa"/>
            <w:shd w:val="clear" w:color="auto" w:fill="auto"/>
            <w:vAlign w:val="top"/>
          </w:tcPr>
          <w:p w14:paraId="191037DB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  <w:t>3</w:t>
            </w:r>
          </w:p>
        </w:tc>
        <w:tc>
          <w:tcPr>
            <w:tcW w:w="2605" w:type="dxa"/>
            <w:shd w:val="clear" w:color="auto" w:fill="auto"/>
            <w:vAlign w:val="top"/>
          </w:tcPr>
          <w:p w14:paraId="0A9E4CE3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  <w:t>真空包装机</w:t>
            </w:r>
          </w:p>
        </w:tc>
        <w:tc>
          <w:tcPr>
            <w:tcW w:w="1036" w:type="dxa"/>
            <w:shd w:val="clear" w:color="auto" w:fill="auto"/>
            <w:vAlign w:val="top"/>
          </w:tcPr>
          <w:p w14:paraId="03CF0E6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  <w:t>3</w:t>
            </w:r>
          </w:p>
        </w:tc>
        <w:tc>
          <w:tcPr>
            <w:tcW w:w="3982" w:type="dxa"/>
            <w:shd w:val="clear" w:color="auto" w:fill="auto"/>
            <w:vAlign w:val="top"/>
          </w:tcPr>
          <w:p w14:paraId="44032CE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  <w:t>1800*1620*1100mm</w:t>
            </w:r>
          </w:p>
        </w:tc>
      </w:tr>
      <w:tr w14:paraId="69B71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899" w:type="dxa"/>
            <w:shd w:val="clear" w:color="auto" w:fill="auto"/>
            <w:vAlign w:val="top"/>
          </w:tcPr>
          <w:p w14:paraId="64FA770A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  <w:t>4</w:t>
            </w:r>
          </w:p>
        </w:tc>
        <w:tc>
          <w:tcPr>
            <w:tcW w:w="2605" w:type="dxa"/>
            <w:shd w:val="clear" w:color="auto" w:fill="auto"/>
            <w:vAlign w:val="top"/>
          </w:tcPr>
          <w:p w14:paraId="759DA805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  <w:t>风干清洗传送带</w:t>
            </w:r>
          </w:p>
        </w:tc>
        <w:tc>
          <w:tcPr>
            <w:tcW w:w="1036" w:type="dxa"/>
            <w:shd w:val="clear" w:color="auto" w:fill="auto"/>
            <w:vAlign w:val="top"/>
          </w:tcPr>
          <w:p w14:paraId="5C7C9EC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  <w:t>1</w:t>
            </w:r>
          </w:p>
        </w:tc>
        <w:tc>
          <w:tcPr>
            <w:tcW w:w="3982" w:type="dxa"/>
            <w:shd w:val="clear" w:color="auto" w:fill="auto"/>
            <w:vAlign w:val="top"/>
          </w:tcPr>
          <w:p w14:paraId="637FE24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  <w:t>6000*1500 *500mm</w:t>
            </w:r>
          </w:p>
        </w:tc>
      </w:tr>
      <w:tr w14:paraId="3B78F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899" w:type="dxa"/>
            <w:vAlign w:val="top"/>
          </w:tcPr>
          <w:p w14:paraId="5741B21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  <w:t>5</w:t>
            </w:r>
          </w:p>
        </w:tc>
        <w:tc>
          <w:tcPr>
            <w:tcW w:w="2605" w:type="dxa"/>
            <w:vAlign w:val="top"/>
          </w:tcPr>
          <w:p w14:paraId="3F589D08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  <w:t>美的风管机</w:t>
            </w:r>
          </w:p>
        </w:tc>
        <w:tc>
          <w:tcPr>
            <w:tcW w:w="1036" w:type="dxa"/>
            <w:vAlign w:val="top"/>
          </w:tcPr>
          <w:p w14:paraId="443EBC5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  <w:t>6</w:t>
            </w:r>
          </w:p>
        </w:tc>
        <w:tc>
          <w:tcPr>
            <w:tcW w:w="3982" w:type="dxa"/>
            <w:vAlign w:val="top"/>
          </w:tcPr>
          <w:p w14:paraId="61E61420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  <w:t>5p</w:t>
            </w:r>
          </w:p>
        </w:tc>
      </w:tr>
      <w:tr w14:paraId="609D6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899" w:type="dxa"/>
            <w:vAlign w:val="top"/>
          </w:tcPr>
          <w:p w14:paraId="4B3C13F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  <w:t>6</w:t>
            </w:r>
          </w:p>
        </w:tc>
        <w:tc>
          <w:tcPr>
            <w:tcW w:w="2605" w:type="dxa"/>
            <w:vAlign w:val="top"/>
          </w:tcPr>
          <w:p w14:paraId="023BE9E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  <w:t>美的挂机</w:t>
            </w:r>
          </w:p>
        </w:tc>
        <w:tc>
          <w:tcPr>
            <w:tcW w:w="1036" w:type="dxa"/>
            <w:vAlign w:val="top"/>
          </w:tcPr>
          <w:p w14:paraId="6A88746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  <w:t>3</w:t>
            </w:r>
          </w:p>
        </w:tc>
        <w:tc>
          <w:tcPr>
            <w:tcW w:w="3982" w:type="dxa"/>
            <w:vAlign w:val="top"/>
          </w:tcPr>
          <w:p w14:paraId="1BBF939D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  <w:t>2p</w:t>
            </w:r>
          </w:p>
        </w:tc>
      </w:tr>
      <w:tr w14:paraId="5FFD8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899" w:type="dxa"/>
            <w:vAlign w:val="top"/>
          </w:tcPr>
          <w:p w14:paraId="297B22A0"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2605" w:type="dxa"/>
            <w:vAlign w:val="top"/>
          </w:tcPr>
          <w:p w14:paraId="38E97373"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  <w:t>美的挂机</w:t>
            </w:r>
          </w:p>
        </w:tc>
        <w:tc>
          <w:tcPr>
            <w:tcW w:w="1036" w:type="dxa"/>
            <w:vAlign w:val="top"/>
          </w:tcPr>
          <w:p w14:paraId="68FB8E9D"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3982" w:type="dxa"/>
            <w:vAlign w:val="top"/>
          </w:tcPr>
          <w:p w14:paraId="77DCEA2F"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1.5p</w:t>
            </w:r>
          </w:p>
        </w:tc>
      </w:tr>
      <w:tr w14:paraId="60209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899" w:type="dxa"/>
            <w:vAlign w:val="top"/>
          </w:tcPr>
          <w:p w14:paraId="15D07B7D"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2605" w:type="dxa"/>
            <w:vAlign w:val="top"/>
          </w:tcPr>
          <w:p w14:paraId="092DC425"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冰柜</w:t>
            </w:r>
          </w:p>
        </w:tc>
        <w:tc>
          <w:tcPr>
            <w:tcW w:w="1036" w:type="dxa"/>
            <w:vAlign w:val="top"/>
          </w:tcPr>
          <w:p w14:paraId="74F5B4F1"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3982" w:type="dxa"/>
            <w:vAlign w:val="top"/>
          </w:tcPr>
          <w:p w14:paraId="541B39B2"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2000*600*800mm</w:t>
            </w:r>
          </w:p>
        </w:tc>
      </w:tr>
      <w:tr w14:paraId="42818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899" w:type="dxa"/>
            <w:vAlign w:val="top"/>
          </w:tcPr>
          <w:p w14:paraId="70EBF2AF"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2605" w:type="dxa"/>
            <w:vAlign w:val="top"/>
          </w:tcPr>
          <w:p w14:paraId="39C105FD"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空压机</w:t>
            </w:r>
          </w:p>
        </w:tc>
        <w:tc>
          <w:tcPr>
            <w:tcW w:w="1036" w:type="dxa"/>
            <w:vAlign w:val="top"/>
          </w:tcPr>
          <w:p w14:paraId="7EBF5ECA"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3982" w:type="dxa"/>
            <w:vAlign w:val="top"/>
          </w:tcPr>
          <w:p w14:paraId="327546EA"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7.5kw</w:t>
            </w:r>
          </w:p>
        </w:tc>
      </w:tr>
      <w:tr w14:paraId="72CC1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899" w:type="dxa"/>
            <w:vAlign w:val="top"/>
          </w:tcPr>
          <w:p w14:paraId="5AC963F2"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2605" w:type="dxa"/>
            <w:vAlign w:val="top"/>
          </w:tcPr>
          <w:p w14:paraId="5BEB3450"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冷风风干机</w:t>
            </w:r>
          </w:p>
        </w:tc>
        <w:tc>
          <w:tcPr>
            <w:tcW w:w="1036" w:type="dxa"/>
            <w:vAlign w:val="top"/>
          </w:tcPr>
          <w:p w14:paraId="1F443B16"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3982" w:type="dxa"/>
            <w:vAlign w:val="top"/>
          </w:tcPr>
          <w:p w14:paraId="6FE7FC1C"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37BE3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899" w:type="dxa"/>
            <w:vAlign w:val="top"/>
          </w:tcPr>
          <w:p w14:paraId="2DA4F91F"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11</w:t>
            </w:r>
          </w:p>
        </w:tc>
        <w:tc>
          <w:tcPr>
            <w:tcW w:w="2605" w:type="dxa"/>
            <w:vAlign w:val="top"/>
          </w:tcPr>
          <w:p w14:paraId="56F2E751"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储气罐</w:t>
            </w:r>
          </w:p>
        </w:tc>
        <w:tc>
          <w:tcPr>
            <w:tcW w:w="1036" w:type="dxa"/>
            <w:vAlign w:val="top"/>
          </w:tcPr>
          <w:p w14:paraId="09DCBF3D"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3982" w:type="dxa"/>
            <w:vAlign w:val="top"/>
          </w:tcPr>
          <w:p w14:paraId="49250D86"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1立方</w:t>
            </w:r>
          </w:p>
        </w:tc>
      </w:tr>
      <w:tr w14:paraId="0525A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899" w:type="dxa"/>
            <w:vAlign w:val="top"/>
          </w:tcPr>
          <w:p w14:paraId="361CC3D2"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12</w:t>
            </w:r>
          </w:p>
        </w:tc>
        <w:tc>
          <w:tcPr>
            <w:tcW w:w="2605" w:type="dxa"/>
            <w:vAlign w:val="top"/>
          </w:tcPr>
          <w:p w14:paraId="2F47A5EB"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移动楼梯</w:t>
            </w:r>
          </w:p>
        </w:tc>
        <w:tc>
          <w:tcPr>
            <w:tcW w:w="1036" w:type="dxa"/>
            <w:vAlign w:val="top"/>
          </w:tcPr>
          <w:p w14:paraId="5F3DBD18"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3982" w:type="dxa"/>
            <w:vAlign w:val="top"/>
          </w:tcPr>
          <w:p w14:paraId="48950920"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236DB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899" w:type="dxa"/>
            <w:vAlign w:val="top"/>
          </w:tcPr>
          <w:p w14:paraId="3C0BA2E6"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13</w:t>
            </w:r>
          </w:p>
        </w:tc>
        <w:tc>
          <w:tcPr>
            <w:tcW w:w="2605" w:type="dxa"/>
            <w:vAlign w:val="top"/>
          </w:tcPr>
          <w:p w14:paraId="5F6AD17A"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储水池</w:t>
            </w:r>
          </w:p>
        </w:tc>
        <w:tc>
          <w:tcPr>
            <w:tcW w:w="1036" w:type="dxa"/>
            <w:vAlign w:val="top"/>
          </w:tcPr>
          <w:p w14:paraId="30323FF3"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3982" w:type="dxa"/>
            <w:vAlign w:val="top"/>
          </w:tcPr>
          <w:p w14:paraId="069E61CF"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10吨</w:t>
            </w:r>
          </w:p>
        </w:tc>
      </w:tr>
      <w:tr w14:paraId="35825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899" w:type="dxa"/>
            <w:vAlign w:val="top"/>
          </w:tcPr>
          <w:p w14:paraId="06145CB5"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14</w:t>
            </w:r>
          </w:p>
        </w:tc>
        <w:tc>
          <w:tcPr>
            <w:tcW w:w="2605" w:type="dxa"/>
            <w:vAlign w:val="top"/>
          </w:tcPr>
          <w:p w14:paraId="6B759A1A"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地牛</w:t>
            </w:r>
          </w:p>
        </w:tc>
        <w:tc>
          <w:tcPr>
            <w:tcW w:w="1036" w:type="dxa"/>
            <w:vAlign w:val="top"/>
          </w:tcPr>
          <w:p w14:paraId="0084EF15"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3982" w:type="dxa"/>
            <w:vAlign w:val="top"/>
          </w:tcPr>
          <w:p w14:paraId="1D599B25"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0415C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899" w:type="dxa"/>
            <w:vAlign w:val="top"/>
          </w:tcPr>
          <w:p w14:paraId="662C9D31"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15</w:t>
            </w:r>
          </w:p>
        </w:tc>
        <w:tc>
          <w:tcPr>
            <w:tcW w:w="2605" w:type="dxa"/>
            <w:vAlign w:val="top"/>
          </w:tcPr>
          <w:p w14:paraId="42413AC5"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吊机</w:t>
            </w:r>
          </w:p>
        </w:tc>
        <w:tc>
          <w:tcPr>
            <w:tcW w:w="1036" w:type="dxa"/>
            <w:vAlign w:val="top"/>
          </w:tcPr>
          <w:p w14:paraId="4BBEE705"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3982" w:type="dxa"/>
            <w:vAlign w:val="top"/>
          </w:tcPr>
          <w:p w14:paraId="31C3EE59"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42233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899" w:type="dxa"/>
            <w:vAlign w:val="top"/>
          </w:tcPr>
          <w:p w14:paraId="75D48684"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16</w:t>
            </w:r>
          </w:p>
        </w:tc>
        <w:tc>
          <w:tcPr>
            <w:tcW w:w="2605" w:type="dxa"/>
            <w:vAlign w:val="top"/>
          </w:tcPr>
          <w:p w14:paraId="03917272"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工作台</w:t>
            </w:r>
          </w:p>
        </w:tc>
        <w:tc>
          <w:tcPr>
            <w:tcW w:w="1036" w:type="dxa"/>
            <w:vAlign w:val="top"/>
          </w:tcPr>
          <w:p w14:paraId="2E99C77F"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3982" w:type="dxa"/>
            <w:vAlign w:val="top"/>
          </w:tcPr>
          <w:p w14:paraId="31B41400"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1000*1800*600mm</w:t>
            </w:r>
          </w:p>
        </w:tc>
      </w:tr>
      <w:tr w14:paraId="629A5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899" w:type="dxa"/>
            <w:vAlign w:val="top"/>
          </w:tcPr>
          <w:p w14:paraId="7FFF9DA4"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17</w:t>
            </w:r>
          </w:p>
        </w:tc>
        <w:tc>
          <w:tcPr>
            <w:tcW w:w="2605" w:type="dxa"/>
            <w:vAlign w:val="top"/>
          </w:tcPr>
          <w:p w14:paraId="7993C92F"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开水器</w:t>
            </w:r>
          </w:p>
        </w:tc>
        <w:tc>
          <w:tcPr>
            <w:tcW w:w="1036" w:type="dxa"/>
            <w:vAlign w:val="top"/>
          </w:tcPr>
          <w:p w14:paraId="22CC62F4"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3982" w:type="dxa"/>
            <w:vAlign w:val="top"/>
          </w:tcPr>
          <w:p w14:paraId="28527B30">
            <w:pPr>
              <w:widowControl/>
              <w:spacing w:line="24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  <w:vertAlign w:val="baseline"/>
              </w:rPr>
            </w:pPr>
          </w:p>
        </w:tc>
      </w:tr>
      <w:tr w14:paraId="7AF34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899" w:type="dxa"/>
            <w:vAlign w:val="top"/>
          </w:tcPr>
          <w:p w14:paraId="1FB119FD"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18</w:t>
            </w:r>
          </w:p>
        </w:tc>
        <w:tc>
          <w:tcPr>
            <w:tcW w:w="2605" w:type="dxa"/>
            <w:vAlign w:val="top"/>
          </w:tcPr>
          <w:p w14:paraId="62D70FB9"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猛火灶</w:t>
            </w:r>
          </w:p>
        </w:tc>
        <w:tc>
          <w:tcPr>
            <w:tcW w:w="1036" w:type="dxa"/>
            <w:vAlign w:val="top"/>
          </w:tcPr>
          <w:p w14:paraId="71837D64"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3982" w:type="dxa"/>
            <w:vAlign w:val="top"/>
          </w:tcPr>
          <w:p w14:paraId="688679E6">
            <w:pPr>
              <w:widowControl/>
              <w:spacing w:line="24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  <w:vertAlign w:val="baseline"/>
              </w:rPr>
            </w:pPr>
          </w:p>
        </w:tc>
      </w:tr>
      <w:tr w14:paraId="723D1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899" w:type="dxa"/>
            <w:vAlign w:val="top"/>
          </w:tcPr>
          <w:p w14:paraId="753C59FB"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19</w:t>
            </w:r>
          </w:p>
        </w:tc>
        <w:tc>
          <w:tcPr>
            <w:tcW w:w="2605" w:type="dxa"/>
            <w:vAlign w:val="top"/>
          </w:tcPr>
          <w:p w14:paraId="3584EFDA"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燃气瓶</w:t>
            </w:r>
          </w:p>
        </w:tc>
        <w:tc>
          <w:tcPr>
            <w:tcW w:w="1036" w:type="dxa"/>
            <w:vAlign w:val="top"/>
          </w:tcPr>
          <w:p w14:paraId="099D1245"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3982" w:type="dxa"/>
            <w:vAlign w:val="top"/>
          </w:tcPr>
          <w:p w14:paraId="4239788F">
            <w:pPr>
              <w:widowControl/>
              <w:spacing w:line="24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  <w:vertAlign w:val="baseline"/>
              </w:rPr>
            </w:pPr>
          </w:p>
        </w:tc>
      </w:tr>
    </w:tbl>
    <w:p w14:paraId="2C9E8FB9">
      <w:pPr>
        <w:rPr>
          <w:rFonts w:ascii="仿宋_GB2312" w:hAnsi="仿宋_GB2312" w:eastAsia="仿宋_GB2312" w:cs="仿宋_GB2312"/>
          <w:bCs/>
          <w:highlight w:val="none"/>
        </w:rPr>
      </w:pPr>
      <w:r>
        <w:rPr>
          <w:rFonts w:ascii="仿宋_GB2312" w:hAnsi="仿宋_GB2312" w:eastAsia="仿宋_GB2312" w:cs="仿宋_GB2312"/>
          <w:bCs/>
          <w:highlight w:val="none"/>
        </w:rPr>
        <w:br w:type="page"/>
      </w:r>
    </w:p>
    <w:p w14:paraId="6C9A8C2F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pacing w:line="500" w:lineRule="exact"/>
        <w:ind w:left="0" w:leftChars="0" w:firstLine="0" w:firstLineChars="0"/>
        <w:rPr>
          <w:rFonts w:hint="eastAsia" w:ascii="仿宋_GB2312" w:hAnsi="仿宋_GB2312" w:eastAsia="仿宋_GB2312" w:cs="仿宋_GB2312"/>
          <w:b/>
          <w:bCs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highlight w:val="none"/>
          <w:lang w:val="en-US" w:eastAsia="zh-CN"/>
        </w:rPr>
        <w:t>附件二：</w:t>
      </w:r>
      <w:r>
        <w:rPr>
          <w:rFonts w:hint="default" w:ascii="仿宋_GB2312" w:hAnsi="仿宋_GB2312" w:eastAsia="仿宋_GB2312" w:cs="仿宋_GB2312"/>
          <w:b/>
          <w:bCs/>
          <w:highlight w:val="none"/>
        </w:rPr>
        <w:t>承包经营管理效果的评估办法</w:t>
      </w:r>
    </w:p>
    <w:p w14:paraId="4F33C435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pacing w:line="500" w:lineRule="exact"/>
        <w:ind w:firstLine="640"/>
        <w:rPr>
          <w:rFonts w:hint="eastAsia" w:ascii="黑体" w:hAnsi="黑体" w:eastAsia="黑体" w:cs="黑体"/>
          <w:highlight w:val="none"/>
        </w:rPr>
      </w:pPr>
      <w:r>
        <w:rPr>
          <w:rFonts w:hint="eastAsia" w:ascii="黑体" w:hAnsi="黑体" w:eastAsia="黑体" w:cs="黑体"/>
          <w:highlight w:val="none"/>
        </w:rPr>
        <w:t>一、总则</w:t>
      </w:r>
    </w:p>
    <w:p w14:paraId="3CA24521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pacing w:line="500" w:lineRule="exact"/>
        <w:ind w:firstLine="640"/>
        <w:rPr>
          <w:rFonts w:hint="eastAsia" w:ascii="仿宋_GB2312" w:hAnsi="仿宋_GB2312" w:eastAsia="仿宋_GB2312" w:cs="仿宋_GB2312"/>
          <w:highlight w:val="none"/>
        </w:rPr>
      </w:pPr>
      <w:r>
        <w:rPr>
          <w:rFonts w:hint="default" w:ascii="仿宋_GB2312" w:hAnsi="仿宋_GB2312" w:eastAsia="仿宋_GB2312" w:cs="仿宋_GB2312"/>
          <w:highlight w:val="none"/>
        </w:rPr>
        <w:t>目的：客观判定乙方三年孵化期内资产维护、付款、品牌及合规方面的经营效果，为甲方续约及乙方优先续约权提供依据。</w:t>
      </w:r>
    </w:p>
    <w:p w14:paraId="030923AC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pacing w:line="500" w:lineRule="exact"/>
        <w:ind w:firstLine="640"/>
        <w:rPr>
          <w:rFonts w:hint="eastAsia" w:ascii="仿宋_GB2312" w:hAnsi="仿宋_GB2312" w:eastAsia="仿宋_GB2312" w:cs="仿宋_GB2312"/>
          <w:highlight w:val="none"/>
        </w:rPr>
      </w:pPr>
      <w:r>
        <w:rPr>
          <w:rFonts w:hint="default" w:ascii="仿宋_GB2312" w:hAnsi="仿宋_GB2312" w:eastAsia="仿宋_GB2312" w:cs="仿宋_GB2312"/>
          <w:highlight w:val="none"/>
        </w:rPr>
        <w:t>适用范围：仅适用于乙方三年孵化期承包经营效果评估，不涉及运营过程监管。</w:t>
      </w:r>
    </w:p>
    <w:p w14:paraId="1E73BA67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pacing w:line="500" w:lineRule="exact"/>
        <w:ind w:firstLine="640"/>
        <w:rPr>
          <w:rFonts w:hint="eastAsia" w:ascii="黑体" w:hAnsi="黑体" w:eastAsia="黑体" w:cs="黑体"/>
          <w:highlight w:val="none"/>
        </w:rPr>
      </w:pPr>
      <w:r>
        <w:rPr>
          <w:rFonts w:hint="eastAsia" w:ascii="黑体" w:hAnsi="黑体" w:eastAsia="黑体" w:cs="黑体"/>
          <w:highlight w:val="none"/>
        </w:rPr>
        <w:t>二、评估对象与周期</w:t>
      </w:r>
    </w:p>
    <w:p w14:paraId="316A2709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pacing w:line="500" w:lineRule="exact"/>
        <w:ind w:firstLine="640"/>
        <w:rPr>
          <w:rFonts w:hint="eastAsia" w:ascii="仿宋_GB2312" w:hAnsi="仿宋_GB2312" w:eastAsia="仿宋_GB2312" w:cs="仿宋_GB2312"/>
          <w:highlight w:val="none"/>
        </w:rPr>
      </w:pPr>
      <w:r>
        <w:rPr>
          <w:rFonts w:hint="default" w:ascii="仿宋_GB2312" w:hAnsi="仿宋_GB2312" w:eastAsia="仿宋_GB2312" w:cs="仿宋_GB2312"/>
          <w:highlight w:val="none"/>
        </w:rPr>
        <w:t>评估对象：</w:t>
      </w:r>
    </w:p>
    <w:p w14:paraId="47203159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pacing w:line="500" w:lineRule="exact"/>
        <w:ind w:firstLine="640"/>
        <w:rPr>
          <w:rFonts w:hint="eastAsia" w:ascii="仿宋_GB2312" w:hAnsi="仿宋_GB2312" w:eastAsia="仿宋_GB2312" w:cs="仿宋_GB2312"/>
          <w:highlight w:val="none"/>
        </w:rPr>
      </w:pPr>
      <w:r>
        <w:rPr>
          <w:rFonts w:hint="default" w:ascii="仿宋_GB2312" w:hAnsi="仿宋_GB2312" w:eastAsia="仿宋_GB2312" w:cs="仿宋_GB2312"/>
          <w:highlight w:val="none"/>
        </w:rPr>
        <w:t>评估周期：三年孵化期结束后30日内，开展一次性期末总评估。</w:t>
      </w:r>
    </w:p>
    <w:p w14:paraId="4213A336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pacing w:line="500" w:lineRule="exact"/>
        <w:ind w:firstLine="640"/>
        <w:rPr>
          <w:rFonts w:hint="eastAsia" w:ascii="黑体" w:hAnsi="黑体" w:eastAsia="黑体" w:cs="黑体"/>
          <w:highlight w:val="none"/>
        </w:rPr>
      </w:pPr>
      <w:r>
        <w:rPr>
          <w:rFonts w:hint="eastAsia" w:ascii="黑体" w:hAnsi="黑体" w:eastAsia="黑体" w:cs="黑体"/>
          <w:highlight w:val="none"/>
        </w:rPr>
        <w:t>三、评估指标与合格标准</w:t>
      </w:r>
    </w:p>
    <w:p w14:paraId="33A6A485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pacing w:line="500" w:lineRule="exact"/>
        <w:ind w:firstLine="640"/>
        <w:rPr>
          <w:rFonts w:hint="default" w:ascii="仿宋_GB2312" w:hAnsi="仿宋_GB2312" w:eastAsia="仿宋_GB2312" w:cs="仿宋_GB2312"/>
          <w:highlight w:val="none"/>
        </w:rPr>
      </w:pPr>
      <w:r>
        <w:rPr>
          <w:rFonts w:hint="default" w:ascii="仿宋_GB2312" w:hAnsi="仿宋_GB2312" w:eastAsia="仿宋_GB2312" w:cs="仿宋_GB2312"/>
          <w:highlight w:val="none"/>
          <w:lang w:val="en-US" w:eastAsia="zh-CN"/>
        </w:rPr>
        <w:t>满分100分，期末评估得分≥60分为合格，具体如下：</w:t>
      </w:r>
    </w:p>
    <w:tbl>
      <w:tblPr>
        <w:tblStyle w:val="13"/>
        <w:tblW w:w="83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33"/>
        <w:gridCol w:w="1336"/>
        <w:gridCol w:w="4486"/>
        <w:gridCol w:w="1261"/>
      </w:tblGrid>
      <w:tr w14:paraId="79CF4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ED4CA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pacing w:line="5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  <w:t>评估维度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5EEF9B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pacing w:line="5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  <w:t>具体指标</w:t>
            </w:r>
          </w:p>
        </w:tc>
        <w:tc>
          <w:tcPr>
            <w:tcW w:w="4486" w:type="dxa"/>
            <w:shd w:val="clear" w:color="auto" w:fill="auto"/>
            <w:vAlign w:val="center"/>
          </w:tcPr>
          <w:p w14:paraId="004302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pacing w:line="5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  <w:t>合格标准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5ABB6D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pacing w:line="5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  <w:t>分值占比</w:t>
            </w:r>
          </w:p>
        </w:tc>
      </w:tr>
      <w:tr w14:paraId="54D7D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E0B91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pacing w:line="5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资产维护（30分）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4AAF8B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pacing w:line="5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甲方资产完好率</w:t>
            </w:r>
          </w:p>
        </w:tc>
        <w:tc>
          <w:tcPr>
            <w:tcW w:w="4486" w:type="dxa"/>
            <w:shd w:val="clear" w:color="auto" w:fill="auto"/>
            <w:vAlign w:val="center"/>
          </w:tcPr>
          <w:p w14:paraId="26A97D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pacing w:line="5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承包范围内甲方提供的设备、场地等资产完好率≥90%，无重大损坏、流失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03E6CB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pacing w:line="5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30分</w:t>
            </w:r>
          </w:p>
        </w:tc>
      </w:tr>
      <w:tr w14:paraId="14F5E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51176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pacing w:line="5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付款及时性（25分）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5F3482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pacing w:line="5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应付甲方款项履约率</w:t>
            </w:r>
          </w:p>
        </w:tc>
        <w:tc>
          <w:tcPr>
            <w:tcW w:w="4486" w:type="dxa"/>
            <w:shd w:val="clear" w:color="auto" w:fill="auto"/>
            <w:vAlign w:val="center"/>
          </w:tcPr>
          <w:p w14:paraId="6802E2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pacing w:line="5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三年期内应付甲方的各类款项（无逾期，或逾期次数≤1次（且逾期不超7天）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2E673D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pacing w:line="5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20分</w:t>
            </w:r>
          </w:p>
        </w:tc>
      </w:tr>
      <w:tr w14:paraId="75967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1460E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pacing w:line="5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品牌打造（20分）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43EF27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pacing w:line="5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品牌关键动作完成率</w:t>
            </w:r>
          </w:p>
        </w:tc>
        <w:tc>
          <w:tcPr>
            <w:tcW w:w="4486" w:type="dxa"/>
            <w:shd w:val="clear" w:color="auto" w:fill="auto"/>
            <w:vAlign w:val="center"/>
          </w:tcPr>
          <w:p w14:paraId="2CDD74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pacing w:line="5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完成甲方约定的品牌打造、形象维护等关键动作的80%及以上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09B41F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pacing w:line="5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20分</w:t>
            </w:r>
          </w:p>
        </w:tc>
      </w:tr>
      <w:tr w14:paraId="0DBC8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3313A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pacing w:line="5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合规经营（25分）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1FCF8A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pacing w:line="5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重大合规风险发生率</w:t>
            </w:r>
          </w:p>
        </w:tc>
        <w:tc>
          <w:tcPr>
            <w:tcW w:w="4486" w:type="dxa"/>
            <w:shd w:val="clear" w:color="auto" w:fill="auto"/>
            <w:vAlign w:val="center"/>
          </w:tcPr>
          <w:p w14:paraId="2E991D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pacing w:line="5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三年期内无违反法律法规、合同约定的重大违规行为（如违法经营、被行政处罚等）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27A38A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pacing w:line="5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30分</w:t>
            </w:r>
          </w:p>
        </w:tc>
      </w:tr>
    </w:tbl>
    <w:p w14:paraId="748544D3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pacing w:line="500" w:lineRule="exact"/>
        <w:ind w:firstLine="640"/>
        <w:rPr>
          <w:rFonts w:hint="default" w:ascii="仿宋_GB2312" w:hAnsi="仿宋_GB2312" w:eastAsia="仿宋_GB2312" w:cs="仿宋_GB2312"/>
          <w:highlight w:val="none"/>
        </w:rPr>
      </w:pPr>
      <w:r>
        <w:rPr>
          <w:rFonts w:hint="default" w:ascii="黑体" w:hAnsi="黑体" w:eastAsia="黑体" w:cs="黑体"/>
          <w:highlight w:val="none"/>
        </w:rPr>
        <w:t>四、评估结果应用</w:t>
      </w:r>
    </w:p>
    <w:p w14:paraId="2CC7C004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pacing w:line="500" w:lineRule="exact"/>
        <w:ind w:firstLine="640"/>
        <w:rPr>
          <w:rFonts w:hint="eastAsia" w:ascii="仿宋_GB2312" w:hAnsi="仿宋_GB2312" w:eastAsia="仿宋_GB2312" w:cs="仿宋_GB2312"/>
          <w:highlight w:val="none"/>
        </w:rPr>
      </w:pPr>
      <w:r>
        <w:rPr>
          <w:rFonts w:hint="default" w:ascii="仿宋_GB2312" w:hAnsi="仿宋_GB2312" w:eastAsia="仿宋_GB2312" w:cs="仿宋_GB2312"/>
          <w:highlight w:val="none"/>
        </w:rPr>
        <w:t>评估合格且甲方决定续约，乙方享有第二期两年承包管理期限的优先续约权；</w:t>
      </w:r>
    </w:p>
    <w:p w14:paraId="56FDB30A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pacing w:line="500" w:lineRule="exact"/>
        <w:ind w:firstLine="640"/>
        <w:rPr>
          <w:rFonts w:hint="default" w:ascii="仿宋_GB2312" w:hAnsi="仿宋_GB2312" w:eastAsia="仿宋_GB2312" w:cs="仿宋_GB231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highlight w:val="none"/>
        </w:rPr>
        <w:t>评估不合格，甲方不启动续约程序，乙方优先续约权自动失效。</w:t>
      </w: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3FAE32B-2130-4F13-B372-E358DED9652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1754FD6C-E9D7-4D9D-9B39-232C8191D2B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2BC46EF1-5F15-498F-AD06-814FB29DFA10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E50385FD-0135-48F5-88B0-BE0141432F8A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E8C4A20E-7721-4A36-9694-31144D583B03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2C0A7057-6144-4805-B5BB-2E45FE6E078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3900D7">
    <w:pPr>
      <w:pStyle w:val="10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1704AA">
                          <w:pPr>
                            <w:pStyle w:val="10"/>
                            <w:ind w:firstLine="36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31704AA">
                    <w:pPr>
                      <w:pStyle w:val="10"/>
                      <w:ind w:firstLine="36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72584B"/>
    <w:rsid w:val="00080CFD"/>
    <w:rsid w:val="00092509"/>
    <w:rsid w:val="000C2B65"/>
    <w:rsid w:val="001A3905"/>
    <w:rsid w:val="001D0F79"/>
    <w:rsid w:val="00246677"/>
    <w:rsid w:val="00260024"/>
    <w:rsid w:val="002E0FDF"/>
    <w:rsid w:val="00317C12"/>
    <w:rsid w:val="00320859"/>
    <w:rsid w:val="003B776D"/>
    <w:rsid w:val="004B2B96"/>
    <w:rsid w:val="004C5E8A"/>
    <w:rsid w:val="004D3B22"/>
    <w:rsid w:val="00521F8F"/>
    <w:rsid w:val="00542E13"/>
    <w:rsid w:val="005A5BCE"/>
    <w:rsid w:val="005D7DDD"/>
    <w:rsid w:val="005F4C0F"/>
    <w:rsid w:val="006300BF"/>
    <w:rsid w:val="00675974"/>
    <w:rsid w:val="006E0CFD"/>
    <w:rsid w:val="00727A3D"/>
    <w:rsid w:val="00760526"/>
    <w:rsid w:val="007D4FC3"/>
    <w:rsid w:val="00885F8D"/>
    <w:rsid w:val="00943D81"/>
    <w:rsid w:val="00A13681"/>
    <w:rsid w:val="00A25092"/>
    <w:rsid w:val="00A463B0"/>
    <w:rsid w:val="00AF788D"/>
    <w:rsid w:val="00B72596"/>
    <w:rsid w:val="00B76957"/>
    <w:rsid w:val="00C17DCB"/>
    <w:rsid w:val="00C9423D"/>
    <w:rsid w:val="00CA5E5D"/>
    <w:rsid w:val="00D11CA1"/>
    <w:rsid w:val="00D8278B"/>
    <w:rsid w:val="00DE5ECC"/>
    <w:rsid w:val="00E32079"/>
    <w:rsid w:val="00E34BA0"/>
    <w:rsid w:val="00E50915"/>
    <w:rsid w:val="00EC5D91"/>
    <w:rsid w:val="00EE6B55"/>
    <w:rsid w:val="00F36DB8"/>
    <w:rsid w:val="00F851A0"/>
    <w:rsid w:val="00F91177"/>
    <w:rsid w:val="01957529"/>
    <w:rsid w:val="01E374F6"/>
    <w:rsid w:val="01F8356E"/>
    <w:rsid w:val="02050431"/>
    <w:rsid w:val="024C171E"/>
    <w:rsid w:val="030F6088"/>
    <w:rsid w:val="04686D1F"/>
    <w:rsid w:val="04AC06B1"/>
    <w:rsid w:val="04D5240B"/>
    <w:rsid w:val="04D806FC"/>
    <w:rsid w:val="05C80A68"/>
    <w:rsid w:val="05DE7148"/>
    <w:rsid w:val="0606018F"/>
    <w:rsid w:val="077A5DB9"/>
    <w:rsid w:val="07916891"/>
    <w:rsid w:val="079270B3"/>
    <w:rsid w:val="07CA6A21"/>
    <w:rsid w:val="07DB2A57"/>
    <w:rsid w:val="08405E05"/>
    <w:rsid w:val="08512C9F"/>
    <w:rsid w:val="0873339B"/>
    <w:rsid w:val="09447EFF"/>
    <w:rsid w:val="098F7F12"/>
    <w:rsid w:val="09DD3537"/>
    <w:rsid w:val="0A1A0B86"/>
    <w:rsid w:val="0AB75AB6"/>
    <w:rsid w:val="0B085D5F"/>
    <w:rsid w:val="0C0452F3"/>
    <w:rsid w:val="0C2C2DB9"/>
    <w:rsid w:val="0C4B7A88"/>
    <w:rsid w:val="0C6A07D3"/>
    <w:rsid w:val="0C725932"/>
    <w:rsid w:val="0CE75980"/>
    <w:rsid w:val="0D664054"/>
    <w:rsid w:val="0E2C32A3"/>
    <w:rsid w:val="0E316003"/>
    <w:rsid w:val="0ED939EE"/>
    <w:rsid w:val="0F6E2734"/>
    <w:rsid w:val="0F86704A"/>
    <w:rsid w:val="0F9E200D"/>
    <w:rsid w:val="100D7044"/>
    <w:rsid w:val="10327526"/>
    <w:rsid w:val="10507B61"/>
    <w:rsid w:val="118539B9"/>
    <w:rsid w:val="119B62FB"/>
    <w:rsid w:val="120E1979"/>
    <w:rsid w:val="12744ECE"/>
    <w:rsid w:val="12A33526"/>
    <w:rsid w:val="136F131A"/>
    <w:rsid w:val="13C75A73"/>
    <w:rsid w:val="148D32B1"/>
    <w:rsid w:val="15A24B3A"/>
    <w:rsid w:val="15DB36B7"/>
    <w:rsid w:val="1656490E"/>
    <w:rsid w:val="16C94348"/>
    <w:rsid w:val="175372AA"/>
    <w:rsid w:val="1771441F"/>
    <w:rsid w:val="17987D0C"/>
    <w:rsid w:val="17A96580"/>
    <w:rsid w:val="17E978D4"/>
    <w:rsid w:val="17ED6E2E"/>
    <w:rsid w:val="180C1EE2"/>
    <w:rsid w:val="18AA2C29"/>
    <w:rsid w:val="18ED46A6"/>
    <w:rsid w:val="190300B6"/>
    <w:rsid w:val="1A100B74"/>
    <w:rsid w:val="1A1D6E85"/>
    <w:rsid w:val="1A9C42D8"/>
    <w:rsid w:val="1AED56D7"/>
    <w:rsid w:val="1B7B61CB"/>
    <w:rsid w:val="1C620F52"/>
    <w:rsid w:val="1CC760CA"/>
    <w:rsid w:val="1D110BF5"/>
    <w:rsid w:val="1D1E269F"/>
    <w:rsid w:val="1F38650F"/>
    <w:rsid w:val="1F855691"/>
    <w:rsid w:val="1FAC5655"/>
    <w:rsid w:val="1FB042F7"/>
    <w:rsid w:val="201C591C"/>
    <w:rsid w:val="2026034F"/>
    <w:rsid w:val="20CF4191"/>
    <w:rsid w:val="21026F3C"/>
    <w:rsid w:val="210A5705"/>
    <w:rsid w:val="21A32365"/>
    <w:rsid w:val="21DF0CC5"/>
    <w:rsid w:val="22292A90"/>
    <w:rsid w:val="22B24A96"/>
    <w:rsid w:val="22BF7FE9"/>
    <w:rsid w:val="22FF5B0F"/>
    <w:rsid w:val="231A688E"/>
    <w:rsid w:val="23817021"/>
    <w:rsid w:val="23D22A8E"/>
    <w:rsid w:val="243A7A59"/>
    <w:rsid w:val="24594F5D"/>
    <w:rsid w:val="24B21E9D"/>
    <w:rsid w:val="25AB32DE"/>
    <w:rsid w:val="261301D0"/>
    <w:rsid w:val="26263E1A"/>
    <w:rsid w:val="2672584B"/>
    <w:rsid w:val="268767EE"/>
    <w:rsid w:val="27685D42"/>
    <w:rsid w:val="27942E59"/>
    <w:rsid w:val="28A644E9"/>
    <w:rsid w:val="28CD0E18"/>
    <w:rsid w:val="28E04028"/>
    <w:rsid w:val="2901329B"/>
    <w:rsid w:val="293E7102"/>
    <w:rsid w:val="29A3424B"/>
    <w:rsid w:val="2A17156F"/>
    <w:rsid w:val="2A7760B7"/>
    <w:rsid w:val="2A9C3DF6"/>
    <w:rsid w:val="2BEF49DC"/>
    <w:rsid w:val="2C424BB7"/>
    <w:rsid w:val="2C7A44F4"/>
    <w:rsid w:val="2C8E6106"/>
    <w:rsid w:val="2CD9414F"/>
    <w:rsid w:val="2D600851"/>
    <w:rsid w:val="2F775737"/>
    <w:rsid w:val="2FE305B3"/>
    <w:rsid w:val="302E578F"/>
    <w:rsid w:val="305D2063"/>
    <w:rsid w:val="30964F3A"/>
    <w:rsid w:val="315A4088"/>
    <w:rsid w:val="31FE0AB7"/>
    <w:rsid w:val="32A777DC"/>
    <w:rsid w:val="32DE4A22"/>
    <w:rsid w:val="338B14E9"/>
    <w:rsid w:val="339C62D3"/>
    <w:rsid w:val="3487466D"/>
    <w:rsid w:val="348F1BE2"/>
    <w:rsid w:val="3491429F"/>
    <w:rsid w:val="34A83397"/>
    <w:rsid w:val="35527ED3"/>
    <w:rsid w:val="356E638F"/>
    <w:rsid w:val="360F160F"/>
    <w:rsid w:val="36273CF8"/>
    <w:rsid w:val="36A738F6"/>
    <w:rsid w:val="36BA60D8"/>
    <w:rsid w:val="36F3056E"/>
    <w:rsid w:val="37763FA2"/>
    <w:rsid w:val="37BD5D0B"/>
    <w:rsid w:val="382062BC"/>
    <w:rsid w:val="387D59D7"/>
    <w:rsid w:val="38B04495"/>
    <w:rsid w:val="39095C03"/>
    <w:rsid w:val="39132095"/>
    <w:rsid w:val="3929719C"/>
    <w:rsid w:val="3A045C96"/>
    <w:rsid w:val="3A783A83"/>
    <w:rsid w:val="3AB931B0"/>
    <w:rsid w:val="3AC63082"/>
    <w:rsid w:val="3ACF7FCB"/>
    <w:rsid w:val="3B066057"/>
    <w:rsid w:val="3B2E2848"/>
    <w:rsid w:val="3B363A0C"/>
    <w:rsid w:val="3B5B576D"/>
    <w:rsid w:val="3BDD426E"/>
    <w:rsid w:val="3C6B206F"/>
    <w:rsid w:val="3D1A58F0"/>
    <w:rsid w:val="3D4B7546"/>
    <w:rsid w:val="3DBA28C9"/>
    <w:rsid w:val="3DDA47F7"/>
    <w:rsid w:val="3E0201FD"/>
    <w:rsid w:val="3E0F78F7"/>
    <w:rsid w:val="3E1440E6"/>
    <w:rsid w:val="3E4C1002"/>
    <w:rsid w:val="3ED9222C"/>
    <w:rsid w:val="3F715586"/>
    <w:rsid w:val="3F883F35"/>
    <w:rsid w:val="3FAC659E"/>
    <w:rsid w:val="4001425F"/>
    <w:rsid w:val="413A0EE0"/>
    <w:rsid w:val="41D939AD"/>
    <w:rsid w:val="421B2DBF"/>
    <w:rsid w:val="424D467C"/>
    <w:rsid w:val="425A03C6"/>
    <w:rsid w:val="427F73D6"/>
    <w:rsid w:val="43210EE4"/>
    <w:rsid w:val="43457143"/>
    <w:rsid w:val="434B7D0F"/>
    <w:rsid w:val="443F7DA7"/>
    <w:rsid w:val="446E1A1C"/>
    <w:rsid w:val="45101210"/>
    <w:rsid w:val="451E281E"/>
    <w:rsid w:val="458C3FB1"/>
    <w:rsid w:val="466B2BA2"/>
    <w:rsid w:val="468E39D0"/>
    <w:rsid w:val="46F22060"/>
    <w:rsid w:val="474A6CB0"/>
    <w:rsid w:val="47635E29"/>
    <w:rsid w:val="47827BE5"/>
    <w:rsid w:val="47B8609B"/>
    <w:rsid w:val="48AE17B9"/>
    <w:rsid w:val="48BB68D0"/>
    <w:rsid w:val="49002B9A"/>
    <w:rsid w:val="49361C42"/>
    <w:rsid w:val="4961028C"/>
    <w:rsid w:val="49A10689"/>
    <w:rsid w:val="4AC84F48"/>
    <w:rsid w:val="4AFD1087"/>
    <w:rsid w:val="4B0F49E7"/>
    <w:rsid w:val="4B231F08"/>
    <w:rsid w:val="4B38501D"/>
    <w:rsid w:val="4BA15B30"/>
    <w:rsid w:val="4C2B0DC9"/>
    <w:rsid w:val="4C9A0766"/>
    <w:rsid w:val="4CCE4AFC"/>
    <w:rsid w:val="4D984995"/>
    <w:rsid w:val="4DC24624"/>
    <w:rsid w:val="4E2B4904"/>
    <w:rsid w:val="4ED10F45"/>
    <w:rsid w:val="4EF179BD"/>
    <w:rsid w:val="4F5D1390"/>
    <w:rsid w:val="5066262C"/>
    <w:rsid w:val="510317AE"/>
    <w:rsid w:val="511856D5"/>
    <w:rsid w:val="511C18E9"/>
    <w:rsid w:val="51F56773"/>
    <w:rsid w:val="520E002A"/>
    <w:rsid w:val="52654E30"/>
    <w:rsid w:val="52B102CF"/>
    <w:rsid w:val="53A771E4"/>
    <w:rsid w:val="55483D3C"/>
    <w:rsid w:val="55A03EEB"/>
    <w:rsid w:val="55C91D4F"/>
    <w:rsid w:val="55F55A90"/>
    <w:rsid w:val="56025D99"/>
    <w:rsid w:val="56815ACA"/>
    <w:rsid w:val="56C1236A"/>
    <w:rsid w:val="570634B7"/>
    <w:rsid w:val="576A3BD2"/>
    <w:rsid w:val="57BA2746"/>
    <w:rsid w:val="581035A9"/>
    <w:rsid w:val="58582A46"/>
    <w:rsid w:val="58F033DB"/>
    <w:rsid w:val="591A2681"/>
    <w:rsid w:val="595266AA"/>
    <w:rsid w:val="596E75B3"/>
    <w:rsid w:val="59965209"/>
    <w:rsid w:val="59E24AD2"/>
    <w:rsid w:val="59FA18BC"/>
    <w:rsid w:val="5B652BA3"/>
    <w:rsid w:val="5C3655A9"/>
    <w:rsid w:val="5D663C6C"/>
    <w:rsid w:val="5D9562FF"/>
    <w:rsid w:val="5DE65452"/>
    <w:rsid w:val="5DFF2F5E"/>
    <w:rsid w:val="5E042D51"/>
    <w:rsid w:val="5EB85CBB"/>
    <w:rsid w:val="5F021772"/>
    <w:rsid w:val="5F5A7800"/>
    <w:rsid w:val="5F875EC9"/>
    <w:rsid w:val="5FCA1C06"/>
    <w:rsid w:val="60121DB5"/>
    <w:rsid w:val="607964BF"/>
    <w:rsid w:val="609D3F1F"/>
    <w:rsid w:val="60A94688"/>
    <w:rsid w:val="60E91231"/>
    <w:rsid w:val="6274338C"/>
    <w:rsid w:val="627D29B7"/>
    <w:rsid w:val="6296460E"/>
    <w:rsid w:val="62C34774"/>
    <w:rsid w:val="64B14444"/>
    <w:rsid w:val="64D224C6"/>
    <w:rsid w:val="65375112"/>
    <w:rsid w:val="65B011BE"/>
    <w:rsid w:val="65B40EB0"/>
    <w:rsid w:val="66912F14"/>
    <w:rsid w:val="66BC7A77"/>
    <w:rsid w:val="66CB11B6"/>
    <w:rsid w:val="679A69EC"/>
    <w:rsid w:val="67CC1E4E"/>
    <w:rsid w:val="67EC5B5E"/>
    <w:rsid w:val="684C24CA"/>
    <w:rsid w:val="68BF5A0A"/>
    <w:rsid w:val="68CF7277"/>
    <w:rsid w:val="68D555CE"/>
    <w:rsid w:val="697C3D03"/>
    <w:rsid w:val="69B33D95"/>
    <w:rsid w:val="69B70500"/>
    <w:rsid w:val="69B8584F"/>
    <w:rsid w:val="6A075408"/>
    <w:rsid w:val="6A5C442C"/>
    <w:rsid w:val="6B09579B"/>
    <w:rsid w:val="6B2E02FC"/>
    <w:rsid w:val="6B666154"/>
    <w:rsid w:val="6C390E1B"/>
    <w:rsid w:val="6C720531"/>
    <w:rsid w:val="6CE54BAD"/>
    <w:rsid w:val="6CED5810"/>
    <w:rsid w:val="6D7A066E"/>
    <w:rsid w:val="6D877A12"/>
    <w:rsid w:val="6DBA2212"/>
    <w:rsid w:val="6E7973B3"/>
    <w:rsid w:val="6E994429"/>
    <w:rsid w:val="6EA53096"/>
    <w:rsid w:val="6EE80872"/>
    <w:rsid w:val="6F3D4A17"/>
    <w:rsid w:val="713752AB"/>
    <w:rsid w:val="717804FA"/>
    <w:rsid w:val="719B0649"/>
    <w:rsid w:val="71AA0173"/>
    <w:rsid w:val="71FC3BE3"/>
    <w:rsid w:val="72033D0F"/>
    <w:rsid w:val="7251239D"/>
    <w:rsid w:val="73230172"/>
    <w:rsid w:val="7323452D"/>
    <w:rsid w:val="7353004A"/>
    <w:rsid w:val="73B030FF"/>
    <w:rsid w:val="740A07AE"/>
    <w:rsid w:val="743E4BA3"/>
    <w:rsid w:val="745030E5"/>
    <w:rsid w:val="74573C49"/>
    <w:rsid w:val="75675427"/>
    <w:rsid w:val="75B3067F"/>
    <w:rsid w:val="75C9152B"/>
    <w:rsid w:val="760065B4"/>
    <w:rsid w:val="779276DF"/>
    <w:rsid w:val="77EA1244"/>
    <w:rsid w:val="782B7D11"/>
    <w:rsid w:val="78363DBB"/>
    <w:rsid w:val="789F0530"/>
    <w:rsid w:val="79BA4CCB"/>
    <w:rsid w:val="79D01A65"/>
    <w:rsid w:val="7A662F96"/>
    <w:rsid w:val="7A845D09"/>
    <w:rsid w:val="7AB4464F"/>
    <w:rsid w:val="7AFB16E0"/>
    <w:rsid w:val="7B32182A"/>
    <w:rsid w:val="7B745BE9"/>
    <w:rsid w:val="7BB506DB"/>
    <w:rsid w:val="7C575807"/>
    <w:rsid w:val="7D5D0B02"/>
    <w:rsid w:val="7DA01E72"/>
    <w:rsid w:val="7E7A0ECD"/>
    <w:rsid w:val="7E955D07"/>
    <w:rsid w:val="7EB2217F"/>
    <w:rsid w:val="7F0D4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topLinePunct/>
      <w:adjustRightInd w:val="0"/>
      <w:spacing w:line="590" w:lineRule="exact"/>
      <w:ind w:firstLine="200" w:firstLineChars="200"/>
      <w:jc w:val="both"/>
    </w:pPr>
    <w:rPr>
      <w:rFonts w:ascii="方正仿宋_GBK" w:hAnsi="Times New Roman" w:eastAsia="方正仿宋_GBK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/>
      <w:b/>
      <w:bCs/>
      <w:kern w:val="44"/>
      <w:sz w:val="48"/>
      <w:szCs w:val="48"/>
    </w:rPr>
  </w:style>
  <w:style w:type="paragraph" w:styleId="3">
    <w:name w:val="heading 2"/>
    <w:basedOn w:val="1"/>
    <w:next w:val="1"/>
    <w:qFormat/>
    <w:uiPriority w:val="0"/>
    <w:pPr>
      <w:outlineLvl w:val="1"/>
    </w:pPr>
  </w:style>
  <w:style w:type="paragraph" w:styleId="4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/>
      <w:b/>
      <w:bCs/>
      <w:kern w:val="0"/>
      <w:sz w:val="27"/>
      <w:szCs w:val="27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next w:val="1"/>
    <w:unhideWhenUsed/>
    <w:qFormat/>
    <w:uiPriority w:val="99"/>
    <w:pPr>
      <w:spacing w:line="240" w:lineRule="auto"/>
      <w:ind w:firstLine="420"/>
    </w:pPr>
    <w:rPr>
      <w:rFonts w:ascii="Times New Roman" w:eastAsia="宋体"/>
      <w:szCs w:val="20"/>
    </w:r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Body Text"/>
    <w:basedOn w:val="1"/>
    <w:next w:val="1"/>
    <w:qFormat/>
    <w:uiPriority w:val="0"/>
    <w:pPr>
      <w:spacing w:after="120"/>
    </w:pPr>
    <w:rPr>
      <w:rFonts w:ascii="Times New Roman" w:hAnsi="Times New Roman" w:eastAsia="宋体" w:cs="Times New Roman"/>
      <w:kern w:val="0"/>
    </w:rPr>
  </w:style>
  <w:style w:type="paragraph" w:styleId="8">
    <w:name w:val="Body Text Indent"/>
    <w:basedOn w:val="1"/>
    <w:next w:val="9"/>
    <w:qFormat/>
    <w:uiPriority w:val="0"/>
    <w:pPr>
      <w:ind w:firstLine="570"/>
    </w:pPr>
    <w:rPr>
      <w:rFonts w:ascii="Times New Roman" w:eastAsia="宋体"/>
      <w:sz w:val="28"/>
    </w:rPr>
  </w:style>
  <w:style w:type="paragraph" w:customStyle="1" w:styleId="9">
    <w:name w:val="正文表格"/>
    <w:qFormat/>
    <w:uiPriority w:val="0"/>
    <w:pPr>
      <w:widowControl w:val="0"/>
      <w:adjustRightInd w:val="0"/>
      <w:snapToGrid w:val="0"/>
      <w:ind w:firstLine="600" w:firstLineChars="200"/>
      <w:jc w:val="both"/>
    </w:pPr>
    <w:rPr>
      <w:rFonts w:ascii="Times New Roman" w:hAnsi="Times New Roman" w:eastAsia="仿宋" w:cs="Times New Roman"/>
      <w:kern w:val="24"/>
      <w:sz w:val="21"/>
      <w:szCs w:val="22"/>
      <w:lang w:val="en-US" w:eastAsia="zh-CN" w:bidi="ar-SA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12">
    <w:name w:val="Body Text First Indent 2"/>
    <w:basedOn w:val="8"/>
    <w:next w:val="1"/>
    <w:unhideWhenUsed/>
    <w:qFormat/>
    <w:uiPriority w:val="0"/>
    <w:pPr>
      <w:ind w:firstLine="420"/>
    </w:p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0"/>
    <w:rPr>
      <w:b/>
    </w:rPr>
  </w:style>
  <w:style w:type="paragraph" w:customStyle="1" w:styleId="17">
    <w:name w:val="海南化工城正文"/>
    <w:basedOn w:val="18"/>
    <w:qFormat/>
    <w:uiPriority w:val="0"/>
    <w:pPr>
      <w:ind w:firstLine="480"/>
    </w:pPr>
    <w:rPr>
      <w:sz w:val="24"/>
    </w:rPr>
  </w:style>
  <w:style w:type="paragraph" w:customStyle="1" w:styleId="18">
    <w:name w:val="样式 电镀正文 + 首行缩进:  2 字符"/>
    <w:basedOn w:val="19"/>
    <w:qFormat/>
    <w:uiPriority w:val="0"/>
    <w:pPr>
      <w:spacing w:line="324" w:lineRule="auto"/>
    </w:pPr>
    <w:rPr>
      <w:rFonts w:cs="宋体"/>
    </w:rPr>
  </w:style>
  <w:style w:type="paragraph" w:customStyle="1" w:styleId="19">
    <w:name w:val="电镀正文"/>
    <w:basedOn w:val="5"/>
    <w:qFormat/>
    <w:uiPriority w:val="0"/>
    <w:pPr>
      <w:spacing w:line="400" w:lineRule="exact"/>
      <w:ind w:firstLine="200"/>
    </w:pPr>
    <w:rPr>
      <w:rFonts w:ascii="宋体" w:hAnsi="宋体"/>
    </w:rPr>
  </w:style>
  <w:style w:type="character" w:customStyle="1" w:styleId="20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5017</Words>
  <Characters>5254</Characters>
  <Lines>30</Lines>
  <Paragraphs>8</Paragraphs>
  <TotalTime>18</TotalTime>
  <ScaleCrop>false</ScaleCrop>
  <LinksUpToDate>false</LinksUpToDate>
  <CharactersWithSpaces>5317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2025-09-13T02:08:00Z</dcterms:created>
  <dc:creator>Cassie 周玲</dc:creator>
  <cp:lastModifiedBy>Zx02</cp:lastModifiedBy>
  <cp:lastPrinted>2025-10-15T03:46:20Z</cp:lastPrinted>
  <dcterms:modified xsi:type="dcterms:W3CDTF">2025-10-15T03:47:18Z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1B9DAE6FDEFD42EF991E192A63EC23C0_13</vt:lpwstr>
  </property>
  <property fmtid="{D5CDD505-2E9C-101B-9397-08002B2CF9AE}" pid="4" name="KSOTemplateDocerSaveRecord">
    <vt:lpwstr>eyJoZGlkIjoiZDU2NTIwMGNiN2VmZTY2YjNmMmFhN2Q2Y2NmOWIwOWQifQ==</vt:lpwstr>
  </property>
</Properties>
</file>