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4454"/>
      <w:bookmarkStart w:id="2" w:name="_Toc15737"/>
      <w:bookmarkStart w:id="3" w:name="_Toc11918"/>
      <w:bookmarkStart w:id="4" w:name="_Toc20910"/>
      <w:bookmarkStart w:id="5" w:name="_Toc21422"/>
      <w:bookmarkStart w:id="6" w:name="_Toc21762"/>
      <w:bookmarkStart w:id="7" w:name="_Toc20033"/>
      <w:bookmarkStart w:id="8" w:name="_Toc7615"/>
      <w:bookmarkStart w:id="9" w:name="_Toc13462"/>
      <w:bookmarkStart w:id="10" w:name="_Toc24727"/>
      <w:bookmarkStart w:id="11" w:name="_Toc25712"/>
      <w:bookmarkStart w:id="12" w:name="_Toc8396"/>
      <w:bookmarkStart w:id="13" w:name="_Toc29002"/>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塔洋镇诗书村委会三合一村6.5亩坡地出租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1950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塔洋镇诗书村委会三合一村6.5亩坡地出租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塔洋镇诗书村委会三合一村6.5亩坡地出租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塔洋镇诗书村委会三合一村6.5亩坡地出租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海南省塔洋镇诗书村委会三合一村6.5亩坡地出租交易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琼海市塔洋镇诗书村三合一组股份经济合作社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塔洋镇诗书村委会三合一村6.5亩坡地出租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37A8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塔洋镇诗书村委会三合一村6.5亩坡地出租</w:t>
      </w:r>
    </w:p>
    <w:p w14:paraId="52F3DE8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color w:val="auto"/>
          <w:sz w:val="28"/>
          <w:szCs w:val="28"/>
          <w:lang w:val="en-US" w:eastAsia="zh-CN"/>
        </w:rPr>
        <w:t>琼海市塔洋镇诗书村三合一组股份经济合作社</w:t>
      </w:r>
    </w:p>
    <w:p w14:paraId="02797FD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6.5亩</w:t>
      </w:r>
    </w:p>
    <w:p w14:paraId="7612E2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1950元/年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18889392936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6CA9B5C4">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8"/>
          <w:szCs w:val="24"/>
          <w:highlight w:val="none"/>
          <w:u w:val="single"/>
          <w:lang w:val="en-US" w:eastAsia="zh-CN"/>
        </w:rPr>
        <w:t>塔洋镇诗书村委会三合一村6.5亩坡地出租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29841"/>
      <w:bookmarkStart w:id="29" w:name="_Toc14469"/>
      <w:bookmarkStart w:id="30" w:name="_Toc4580"/>
      <w:bookmarkStart w:id="31" w:name="_Toc11237"/>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4430277"/>
    <w:rsid w:val="07320597"/>
    <w:rsid w:val="08013D9C"/>
    <w:rsid w:val="0A8721A0"/>
    <w:rsid w:val="0B7B2128"/>
    <w:rsid w:val="0B985CD3"/>
    <w:rsid w:val="0CE9050F"/>
    <w:rsid w:val="0D734931"/>
    <w:rsid w:val="0E9816ED"/>
    <w:rsid w:val="10396E71"/>
    <w:rsid w:val="11DE52CB"/>
    <w:rsid w:val="128272C8"/>
    <w:rsid w:val="150A3847"/>
    <w:rsid w:val="17A6314B"/>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1363B2B"/>
    <w:rsid w:val="327E6635"/>
    <w:rsid w:val="32A2178E"/>
    <w:rsid w:val="345842C6"/>
    <w:rsid w:val="3516702D"/>
    <w:rsid w:val="356B5D48"/>
    <w:rsid w:val="37E601A9"/>
    <w:rsid w:val="3A7A2C02"/>
    <w:rsid w:val="3D8660C5"/>
    <w:rsid w:val="3EE84C2D"/>
    <w:rsid w:val="43315BEC"/>
    <w:rsid w:val="43AD1C7C"/>
    <w:rsid w:val="44912C24"/>
    <w:rsid w:val="45286D33"/>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1FB6B3E"/>
    <w:rsid w:val="62B03D4D"/>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6723</Words>
  <Characters>7135</Characters>
  <Lines>59</Lines>
  <Paragraphs>16</Paragraphs>
  <TotalTime>3</TotalTime>
  <ScaleCrop>false</ScaleCrop>
  <LinksUpToDate>false</LinksUpToDate>
  <CharactersWithSpaces>7633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2025-10-17T06:38:50Z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