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kinsoku/>
        <w:wordWrap/>
        <w:overflowPunct/>
        <w:topLinePunct w:val="0"/>
        <w:bidi w:val="0"/>
        <w:spacing w:line="560" w:lineRule="exact"/>
        <w:ind w:firstLine="883" w:firstLineChars="200"/>
        <w:jc w:val="center"/>
        <w:textAlignment w:val="auto"/>
        <w:rPr>
          <w:rFonts w:hint="eastAsia" w:ascii="宋体" w:hAnsi="宋体" w:eastAsia="宋体" w:cs="Times New Roman"/>
          <w:b/>
          <w:bCs/>
          <w:color w:val="auto"/>
          <w:sz w:val="44"/>
          <w:szCs w:val="44"/>
          <w:highlight w:val="none"/>
          <w:lang w:eastAsia="zh-CN"/>
        </w:rPr>
      </w:pPr>
      <w:r>
        <w:rPr>
          <w:rFonts w:hint="eastAsia" w:ascii="宋体" w:hAnsi="宋体" w:eastAsia="宋体" w:cs="Times New Roman"/>
          <w:b/>
          <w:bCs/>
          <w:color w:val="auto"/>
          <w:sz w:val="44"/>
          <w:szCs w:val="44"/>
          <w:highlight w:val="none"/>
          <w:lang w:val="en-US" w:eastAsia="zh-CN"/>
        </w:rPr>
        <w:t>毛石</w:t>
      </w:r>
      <w:r>
        <w:rPr>
          <w:rFonts w:hint="eastAsia" w:ascii="宋体" w:hAnsi="宋体" w:eastAsia="宋体" w:cs="Times New Roman"/>
          <w:b/>
          <w:bCs/>
          <w:color w:val="auto"/>
          <w:sz w:val="44"/>
          <w:szCs w:val="44"/>
          <w:highlight w:val="none"/>
        </w:rPr>
        <w:t>骨料购销合同</w:t>
      </w:r>
      <w:r>
        <w:rPr>
          <w:rFonts w:hint="eastAsia" w:ascii="宋体" w:hAnsi="宋体" w:eastAsia="宋体" w:cs="Times New Roman"/>
          <w:b/>
          <w:bCs/>
          <w:color w:val="auto"/>
          <w:sz w:val="44"/>
          <w:szCs w:val="44"/>
          <w:highlight w:val="none"/>
          <w:lang w:eastAsia="zh-CN"/>
        </w:rPr>
        <w:t>（</w:t>
      </w:r>
      <w:r>
        <w:rPr>
          <w:rFonts w:hint="eastAsia" w:ascii="宋体" w:hAnsi="宋体" w:eastAsia="宋体" w:cs="Times New Roman"/>
          <w:b/>
          <w:bCs/>
          <w:color w:val="auto"/>
          <w:sz w:val="44"/>
          <w:szCs w:val="44"/>
          <w:highlight w:val="none"/>
          <w:lang w:val="en-US" w:eastAsia="zh-CN"/>
        </w:rPr>
        <w:t>预售</w:t>
      </w:r>
      <w:r>
        <w:rPr>
          <w:rFonts w:hint="eastAsia" w:ascii="宋体" w:hAnsi="宋体" w:eastAsia="宋体" w:cs="Times New Roman"/>
          <w:b/>
          <w:bCs/>
          <w:color w:val="auto"/>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合同编号：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ascii="宋体" w:hAnsi="宋体" w:eastAsia="宋体" w:cs="Times New Roman"/>
          <w:color w:val="auto"/>
          <w:sz w:val="21"/>
          <w:szCs w:val="21"/>
          <w:highlight w:val="none"/>
        </w:rPr>
      </w:pPr>
      <w:r>
        <w:rPr>
          <w:rFonts w:hint="eastAsia" w:ascii="仿宋_GB2312" w:hAnsi="仿宋_GB2312" w:eastAsia="仿宋_GB2312" w:cs="仿宋_GB2312"/>
          <w:color w:val="auto"/>
          <w:sz w:val="32"/>
          <w:szCs w:val="32"/>
          <w:highlight w:val="none"/>
        </w:rPr>
        <w:t>签订地点：</w:t>
      </w:r>
    </w:p>
    <w:p>
      <w:pPr>
        <w:keepNext w:val="0"/>
        <w:keepLines w:val="0"/>
        <w:pageBreakBefore w:val="0"/>
        <w:widowControl w:val="0"/>
        <w:kinsoku/>
        <w:wordWrap/>
        <w:overflowPunct/>
        <w:topLinePunct w:val="0"/>
        <w:autoSpaceDE/>
        <w:autoSpaceDN/>
        <w:bidi w:val="0"/>
        <w:adjustRightInd w:val="0"/>
        <w:snapToGrid w:val="0"/>
        <w:spacing w:line="560" w:lineRule="exact"/>
        <w:ind w:left="636" w:leftChars="212" w:firstLine="0" w:firstLineChars="0"/>
        <w:jc w:val="left"/>
        <w:textAlignment w:val="auto"/>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b/>
          <w:bCs/>
          <w:color w:val="auto"/>
          <w:sz w:val="32"/>
          <w:szCs w:val="32"/>
          <w:highlight w:val="none"/>
        </w:rPr>
        <w:t>买  方</w:t>
      </w:r>
      <w:r>
        <w:rPr>
          <w:rFonts w:hint="eastAsia" w:ascii="仿宋_GB2312" w:hAnsi="仿宋_GB2312" w:cs="仿宋_GB2312"/>
          <w:b/>
          <w:bCs/>
          <w:color w:val="auto"/>
          <w:sz w:val="32"/>
          <w:szCs w:val="32"/>
          <w:highlight w:val="none"/>
          <w:lang w:eastAsia="zh-CN"/>
        </w:rPr>
        <w:t>（</w:t>
      </w:r>
      <w:r>
        <w:rPr>
          <w:rFonts w:hint="eastAsia" w:ascii="仿宋_GB2312" w:hAnsi="仿宋_GB2312" w:cs="仿宋_GB2312"/>
          <w:b/>
          <w:bCs/>
          <w:color w:val="auto"/>
          <w:sz w:val="32"/>
          <w:szCs w:val="32"/>
          <w:highlight w:val="none"/>
          <w:lang w:val="en-US" w:eastAsia="zh-CN"/>
        </w:rPr>
        <w:t>甲方</w:t>
      </w:r>
      <w:r>
        <w:rPr>
          <w:rFonts w:hint="eastAsia" w:ascii="仿宋_GB2312" w:hAnsi="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cs="仿宋_GB2312"/>
          <w:b/>
          <w:bCs/>
          <w:color w:val="auto"/>
          <w:sz w:val="32"/>
          <w:szCs w:val="32"/>
          <w:highlight w:val="none"/>
          <w:u w:val="single"/>
          <w:lang w:val="en-US" w:eastAsia="zh-CN"/>
        </w:rPr>
        <w:t xml:space="preserve">                                            </w:t>
      </w:r>
      <w:r>
        <w:rPr>
          <w:rFonts w:hint="eastAsia" w:ascii="仿宋_GB2312" w:hAnsi="仿宋_GB2312" w:cs="仿宋_GB2312"/>
          <w:b/>
          <w:bCs/>
          <w:color w:val="auto"/>
          <w:sz w:val="32"/>
          <w:szCs w:val="32"/>
          <w:highlight w:val="none"/>
          <w:lang w:val="en-US" w:eastAsia="zh-CN"/>
        </w:rPr>
        <w:t xml:space="preserve">  </w:t>
      </w:r>
      <w:r>
        <w:rPr>
          <w:rFonts w:hint="eastAsia" w:ascii="仿宋_GB2312" w:hAnsi="仿宋_GB2312" w:cs="仿宋_GB2312"/>
          <w:color w:val="auto"/>
          <w:sz w:val="32"/>
          <w:szCs w:val="32"/>
          <w:highlight w:val="none"/>
          <w:u w:val="none"/>
          <w:lang w:eastAsia="zh-CN"/>
        </w:rPr>
        <w:t xml:space="preserve"> </w:t>
      </w:r>
      <w:r>
        <w:rPr>
          <w:rFonts w:hint="eastAsia" w:ascii="仿宋_GB2312" w:hAnsi="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rPr>
        <w:t>地  址：</w:t>
      </w:r>
      <w:r>
        <w:rPr>
          <w:rFonts w:hint="eastAsia" w:ascii="仿宋_GB2312" w:hAnsi="仿宋_GB2312" w:eastAsia="仿宋_GB2312" w:cs="仿宋_GB2312"/>
          <w:b w:val="0"/>
          <w:bCs w:val="0"/>
          <w:color w:val="auto"/>
          <w:sz w:val="32"/>
          <w:szCs w:val="32"/>
          <w:highlight w:val="none"/>
          <w:u w:val="single"/>
        </w:rPr>
        <w:t> </w:t>
      </w:r>
      <w:r>
        <w:rPr>
          <w:rFonts w:hint="eastAsia" w:ascii="仿宋_GB2312" w:hAnsi="仿宋_GB2312" w:cs="仿宋_GB2312"/>
          <w:b w:val="0"/>
          <w:bCs w:val="0"/>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电  话：</w:t>
      </w:r>
      <w:r>
        <w:rPr>
          <w:rFonts w:hint="eastAsia" w:ascii="仿宋_GB2312" w:hAnsi="仿宋_GB2312" w:cs="仿宋_GB2312"/>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仿宋_GB2312" w:hAnsi="仿宋_GB2312" w:eastAsia="仿宋_GB2312" w:cs="仿宋_GB2312"/>
          <w:color w:val="auto"/>
          <w:sz w:val="32"/>
          <w:szCs w:val="32"/>
          <w:highlight w:val="none"/>
          <w:u w:val="single"/>
          <w:lang w:val="en-US"/>
        </w:rPr>
      </w:pPr>
      <w:r>
        <w:rPr>
          <w:rFonts w:hint="eastAsia" w:ascii="仿宋_GB2312" w:hAnsi="仿宋_GB2312" w:eastAsia="仿宋_GB2312" w:cs="仿宋_GB2312"/>
          <w:b/>
          <w:bCs/>
          <w:color w:val="auto"/>
          <w:sz w:val="32"/>
          <w:szCs w:val="32"/>
          <w:highlight w:val="none"/>
        </w:rPr>
        <w:t>卖  方</w:t>
      </w:r>
      <w:r>
        <w:rPr>
          <w:rFonts w:hint="eastAsia" w:ascii="仿宋_GB2312" w:hAnsi="仿宋_GB2312" w:cs="仿宋_GB2312"/>
          <w:b/>
          <w:bCs/>
          <w:color w:val="auto"/>
          <w:sz w:val="32"/>
          <w:szCs w:val="32"/>
          <w:highlight w:val="none"/>
          <w:lang w:eastAsia="zh-CN"/>
        </w:rPr>
        <w:t>（</w:t>
      </w:r>
      <w:r>
        <w:rPr>
          <w:rFonts w:hint="eastAsia" w:ascii="仿宋_GB2312" w:hAnsi="仿宋_GB2312" w:cs="仿宋_GB2312"/>
          <w:b/>
          <w:bCs/>
          <w:color w:val="auto"/>
          <w:sz w:val="32"/>
          <w:szCs w:val="32"/>
          <w:highlight w:val="none"/>
          <w:lang w:val="en-US" w:eastAsia="zh-CN"/>
        </w:rPr>
        <w:t>乙方</w:t>
      </w:r>
      <w:r>
        <w:rPr>
          <w:rFonts w:hint="eastAsia" w:ascii="仿宋_GB2312" w:hAnsi="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地  址：</w:t>
      </w:r>
      <w:r>
        <w:rPr>
          <w:rFonts w:hint="eastAsia" w:ascii="仿宋_GB2312" w:hAnsi="仿宋_GB2312" w:eastAsia="仿宋_GB2312" w:cs="仿宋_GB2312"/>
          <w:b/>
          <w:bCs/>
          <w:color w:val="auto"/>
          <w:sz w:val="32"/>
          <w:szCs w:val="32"/>
          <w:highlight w:val="none"/>
          <w:u w:val="single"/>
          <w:lang w:val="en-US" w:eastAsia="zh-CN"/>
        </w:rPr>
        <w:t xml:space="preserve"> </w:t>
      </w:r>
      <w:r>
        <w:rPr>
          <w:rFonts w:hint="eastAsia" w:ascii="仿宋_GB2312" w:hAnsi="仿宋_GB2312" w:cs="仿宋_GB2312"/>
          <w:b/>
          <w:bCs/>
          <w:color w:val="auto"/>
          <w:sz w:val="32"/>
          <w:szCs w:val="3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u w:val="single"/>
          <w:lang w:val="en-US"/>
        </w:rPr>
      </w:pPr>
      <w:r>
        <w:rPr>
          <w:rFonts w:hint="eastAsia" w:ascii="仿宋_GB2312" w:hAnsi="仿宋_GB2312" w:eastAsia="仿宋_GB2312" w:cs="仿宋_GB2312"/>
          <w:color w:val="auto"/>
          <w:sz w:val="32"/>
          <w:szCs w:val="32"/>
          <w:highlight w:val="none"/>
        </w:rPr>
        <w:t>电  话：</w:t>
      </w:r>
      <w:r>
        <w:rPr>
          <w:rFonts w:hint="eastAsia" w:ascii="仿宋_GB2312" w:hAnsi="仿宋_GB2312" w:cs="仿宋_GB2312"/>
          <w:color w:val="auto"/>
          <w:sz w:val="32"/>
          <w:szCs w:val="32"/>
          <w:highlight w:val="none"/>
          <w:u w:val="single"/>
          <w:lang w:val="en-US" w:eastAsia="zh-CN"/>
        </w:rPr>
        <w:t xml:space="preserve">                        </w:t>
      </w:r>
    </w:p>
    <w:p>
      <w:pPr>
        <w:keepNext w:val="0"/>
        <w:keepLines w:val="0"/>
        <w:pageBreakBefore w:val="0"/>
        <w:kinsoku/>
        <w:wordWrap/>
        <w:overflowPunct/>
        <w:topLinePunct w:val="0"/>
        <w:bidi w:val="0"/>
        <w:adjustRightInd w:val="0"/>
        <w:snapToGrid w:val="0"/>
        <w:spacing w:line="560" w:lineRule="exact"/>
        <w:ind w:firstLine="420" w:firstLineChars="200"/>
        <w:jc w:val="left"/>
        <w:textAlignment w:val="auto"/>
        <w:rPr>
          <w:rFonts w:ascii="宋体" w:hAnsi="宋体" w:eastAsia="宋体" w:cs="Times New Roman"/>
          <w:color w:val="auto"/>
          <w:sz w:val="21"/>
          <w:szCs w:val="21"/>
          <w:highlight w:val="none"/>
          <w:u w:val="singl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甲、乙双方根据《中华人民共和国民法典》及其他有关法律、法规的规定，本着诚实信用、互惠互利的商业合作精神，在平等自愿、协商一致的基础上，就</w:t>
      </w:r>
      <w:r>
        <w:rPr>
          <w:rFonts w:hint="eastAsia" w:ascii="仿宋_GB2312" w:hAnsi="仿宋_GB2312" w:cs="仿宋_GB2312"/>
          <w:color w:val="auto"/>
          <w:sz w:val="32"/>
          <w:szCs w:val="32"/>
          <w:highlight w:val="none"/>
          <w:lang w:val="en-US" w:eastAsia="zh-CN"/>
        </w:rPr>
        <w:t>儋州市西培农场端门岭矿区（二期）建筑用花岗岩矿100万吨毛石及50万吨成品</w:t>
      </w:r>
      <w:r>
        <w:rPr>
          <w:rFonts w:hint="eastAsia" w:ascii="仿宋_GB2312" w:hAnsi="仿宋_GB2312" w:eastAsia="仿宋_GB2312" w:cs="仿宋_GB2312"/>
          <w:color w:val="auto"/>
          <w:sz w:val="32"/>
          <w:szCs w:val="32"/>
          <w:highlight w:val="none"/>
        </w:rPr>
        <w:t>骨料购销事宜</w:t>
      </w:r>
      <w:r>
        <w:rPr>
          <w:rFonts w:hint="eastAsia" w:ascii="仿宋_GB2312" w:hAnsi="仿宋_GB2312" w:cs="仿宋_GB2312"/>
          <w:color w:val="auto"/>
          <w:sz w:val="32"/>
          <w:szCs w:val="32"/>
          <w:highlight w:val="none"/>
          <w:lang w:val="en-US" w:eastAsia="zh-CN"/>
        </w:rPr>
        <w:t>协商一致</w:t>
      </w:r>
      <w:r>
        <w:rPr>
          <w:rFonts w:hint="eastAsia" w:ascii="仿宋_GB2312" w:hAnsi="仿宋_GB2312" w:eastAsia="仿宋_GB2312" w:cs="仿宋_GB2312"/>
          <w:color w:val="auto"/>
          <w:sz w:val="32"/>
          <w:szCs w:val="32"/>
          <w:highlight w:val="none"/>
        </w:rPr>
        <w:t>签订本合同，以资信守。</w:t>
      </w: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第一条  产品名称、品种规格、价格、数量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自合同约定时间起</w:t>
      </w:r>
      <w:r>
        <w:rPr>
          <w:rFonts w:hint="eastAsia" w:ascii="仿宋_GB2312" w:hAnsi="仿宋_GB2312" w:eastAsia="仿宋_GB2312" w:cs="仿宋_GB2312"/>
          <w:color w:val="auto"/>
          <w:sz w:val="32"/>
          <w:szCs w:val="32"/>
          <w:highlight w:val="none"/>
        </w:rPr>
        <w:t>，按下表所列产品、规格及价格向</w:t>
      </w:r>
      <w:r>
        <w:rPr>
          <w:rFonts w:hint="eastAsia" w:ascii="仿宋_GB2312" w:hAnsi="仿宋_GB2312" w:eastAsia="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方供应骨料产品：</w:t>
      </w:r>
    </w:p>
    <w:tbl>
      <w:tblPr>
        <w:tblStyle w:val="6"/>
        <w:tblW w:w="10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564"/>
        <w:gridCol w:w="1649"/>
        <w:gridCol w:w="1675"/>
        <w:gridCol w:w="1617"/>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2514" w:type="dxa"/>
            <w:noWrap w:val="0"/>
            <w:vAlign w:val="center"/>
          </w:tcPr>
          <w:p>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产品名称</w:t>
            </w:r>
            <w:r>
              <w:rPr>
                <w:rFonts w:hint="eastAsia" w:ascii="仿宋_GB2312" w:hAnsi="仿宋_GB2312" w:cs="仿宋_GB2312"/>
                <w:color w:val="auto"/>
                <w:sz w:val="28"/>
                <w:szCs w:val="28"/>
                <w:highlight w:val="none"/>
                <w:lang w:eastAsia="zh-CN"/>
              </w:rPr>
              <w:t>（</w:t>
            </w:r>
            <w:r>
              <w:rPr>
                <w:rFonts w:hint="eastAsia" w:ascii="仿宋_GB2312" w:hAnsi="仿宋_GB2312" w:cs="仿宋_GB2312"/>
                <w:color w:val="auto"/>
                <w:sz w:val="28"/>
                <w:szCs w:val="28"/>
                <w:highlight w:val="none"/>
                <w:lang w:val="en-US" w:eastAsia="zh-CN"/>
              </w:rPr>
              <w:t>品种</w:t>
            </w:r>
            <w:r>
              <w:rPr>
                <w:rFonts w:hint="eastAsia" w:ascii="仿宋_GB2312" w:hAnsi="仿宋_GB2312" w:cs="仿宋_GB2312"/>
                <w:color w:val="auto"/>
                <w:sz w:val="28"/>
                <w:szCs w:val="28"/>
                <w:highlight w:val="none"/>
                <w:lang w:eastAsia="zh-CN"/>
              </w:rPr>
              <w:t>）</w:t>
            </w:r>
          </w:p>
        </w:tc>
        <w:tc>
          <w:tcPr>
            <w:tcW w:w="1564" w:type="dxa"/>
            <w:noWrap w:val="0"/>
            <w:vAlign w:val="center"/>
          </w:tcPr>
          <w:p>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产品规格</w:t>
            </w:r>
          </w:p>
        </w:tc>
        <w:tc>
          <w:tcPr>
            <w:tcW w:w="1649" w:type="dxa"/>
            <w:noWrap w:val="0"/>
            <w:vAlign w:val="center"/>
          </w:tcPr>
          <w:p>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不</w:t>
            </w:r>
            <w:r>
              <w:rPr>
                <w:rFonts w:hint="eastAsia" w:ascii="仿宋_GB2312" w:hAnsi="仿宋_GB2312" w:eastAsia="仿宋_GB2312" w:cs="仿宋_GB2312"/>
                <w:color w:val="auto"/>
                <w:sz w:val="28"/>
                <w:szCs w:val="28"/>
                <w:highlight w:val="none"/>
              </w:rPr>
              <w:t>含税</w:t>
            </w:r>
            <w:r>
              <w:rPr>
                <w:rFonts w:hint="eastAsia" w:ascii="仿宋_GB2312" w:hAnsi="仿宋_GB2312" w:eastAsia="仿宋_GB2312" w:cs="仿宋_GB2312"/>
                <w:color w:val="auto"/>
                <w:sz w:val="28"/>
                <w:szCs w:val="28"/>
                <w:highlight w:val="none"/>
                <w:lang w:val="en-US" w:eastAsia="zh-CN"/>
              </w:rPr>
              <w:t>预售</w:t>
            </w:r>
            <w:r>
              <w:rPr>
                <w:rFonts w:hint="eastAsia" w:ascii="仿宋_GB2312" w:hAnsi="仿宋_GB2312" w:eastAsia="仿宋_GB2312" w:cs="仿宋_GB2312"/>
                <w:color w:val="auto"/>
                <w:sz w:val="28"/>
                <w:szCs w:val="28"/>
                <w:highlight w:val="none"/>
              </w:rPr>
              <w:t>（元/吨）</w:t>
            </w:r>
          </w:p>
        </w:tc>
        <w:tc>
          <w:tcPr>
            <w:tcW w:w="1675" w:type="dxa"/>
            <w:noWrap w:val="0"/>
            <w:vAlign w:val="center"/>
          </w:tcPr>
          <w:p>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含税</w:t>
            </w:r>
            <w:r>
              <w:rPr>
                <w:rFonts w:hint="eastAsia" w:ascii="仿宋_GB2312" w:hAnsi="仿宋_GB2312" w:eastAsia="仿宋_GB2312" w:cs="仿宋_GB2312"/>
                <w:color w:val="auto"/>
                <w:sz w:val="28"/>
                <w:szCs w:val="28"/>
                <w:highlight w:val="none"/>
                <w:lang w:val="en-US" w:eastAsia="zh-CN"/>
              </w:rPr>
              <w:t>预售</w:t>
            </w:r>
            <w:r>
              <w:rPr>
                <w:rFonts w:hint="eastAsia" w:ascii="仿宋_GB2312" w:hAnsi="仿宋_GB2312" w:eastAsia="仿宋_GB2312" w:cs="仿宋_GB2312"/>
                <w:color w:val="auto"/>
                <w:sz w:val="28"/>
                <w:szCs w:val="28"/>
                <w:highlight w:val="none"/>
              </w:rPr>
              <w:t>（元/吨）</w:t>
            </w:r>
          </w:p>
        </w:tc>
        <w:tc>
          <w:tcPr>
            <w:tcW w:w="1617" w:type="dxa"/>
            <w:noWrap w:val="0"/>
            <w:vAlign w:val="center"/>
          </w:tcPr>
          <w:p>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交货方式</w:t>
            </w:r>
          </w:p>
        </w:tc>
        <w:tc>
          <w:tcPr>
            <w:tcW w:w="1482" w:type="dxa"/>
            <w:noWrap w:val="0"/>
            <w:vAlign w:val="center"/>
          </w:tcPr>
          <w:p>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计划提货数量（吨）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14" w:type="dxa"/>
            <w:noWrap w:val="0"/>
            <w:vAlign w:val="center"/>
          </w:tcPr>
          <w:p>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毛石（花岗岩）</w:t>
            </w:r>
          </w:p>
        </w:tc>
        <w:tc>
          <w:tcPr>
            <w:tcW w:w="1564" w:type="dxa"/>
            <w:noWrap w:val="0"/>
            <w:vAlign w:val="center"/>
          </w:tcPr>
          <w:p>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≤80</w:t>
            </w:r>
            <w:r>
              <w:rPr>
                <w:rFonts w:hint="eastAsia" w:ascii="仿宋_GB2312" w:hAnsi="仿宋_GB2312" w:cs="仿宋_GB2312"/>
                <w:color w:val="auto"/>
                <w:sz w:val="28"/>
                <w:szCs w:val="28"/>
                <w:highlight w:val="none"/>
                <w:lang w:val="en-US" w:eastAsia="zh-CN"/>
              </w:rPr>
              <w:t>0m</w:t>
            </w:r>
            <w:r>
              <w:rPr>
                <w:rFonts w:hint="eastAsia" w:ascii="仿宋_GB2312" w:hAnsi="仿宋_GB2312" w:eastAsia="仿宋_GB2312" w:cs="仿宋_GB2312"/>
                <w:color w:val="auto"/>
                <w:sz w:val="28"/>
                <w:szCs w:val="28"/>
                <w:highlight w:val="none"/>
                <w:lang w:val="en-US" w:eastAsia="zh-CN"/>
              </w:rPr>
              <w:t>m</w:t>
            </w:r>
          </w:p>
        </w:tc>
        <w:tc>
          <w:tcPr>
            <w:tcW w:w="1649" w:type="dxa"/>
            <w:noWrap w:val="0"/>
            <w:vAlign w:val="top"/>
          </w:tcPr>
          <w:p>
            <w:pPr>
              <w:keepNext w:val="0"/>
              <w:keepLines w:val="0"/>
              <w:pageBreakBefore w:val="0"/>
              <w:kinsoku/>
              <w:wordWrap/>
              <w:overflowPunct/>
              <w:topLinePunct w:val="0"/>
              <w:bidi w:val="0"/>
              <w:spacing w:line="560" w:lineRule="exact"/>
              <w:ind w:firstLine="560" w:firstLineChars="200"/>
              <w:jc w:val="center"/>
              <w:textAlignment w:val="auto"/>
              <w:rPr>
                <w:rFonts w:hint="default" w:ascii="仿宋_GB2312" w:hAnsi="仿宋_GB2312" w:eastAsia="仿宋_GB2312" w:cs="仿宋_GB2312"/>
                <w:color w:val="auto"/>
                <w:sz w:val="28"/>
                <w:szCs w:val="28"/>
                <w:highlight w:val="none"/>
                <w:lang w:val="en-US" w:eastAsia="zh-CN"/>
              </w:rPr>
            </w:pPr>
          </w:p>
        </w:tc>
        <w:tc>
          <w:tcPr>
            <w:tcW w:w="1675" w:type="dxa"/>
            <w:noWrap w:val="0"/>
            <w:vAlign w:val="center"/>
          </w:tcPr>
          <w:p>
            <w:pPr>
              <w:keepNext w:val="0"/>
              <w:keepLines w:val="0"/>
              <w:pageBreakBefore w:val="0"/>
              <w:kinsoku/>
              <w:wordWrap/>
              <w:overflowPunct/>
              <w:topLinePunct w:val="0"/>
              <w:bidi w:val="0"/>
              <w:spacing w:line="56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38</w:t>
            </w:r>
          </w:p>
        </w:tc>
        <w:tc>
          <w:tcPr>
            <w:tcW w:w="1617" w:type="dxa"/>
            <w:noWrap w:val="0"/>
            <w:vAlign w:val="center"/>
          </w:tcPr>
          <w:p>
            <w:pPr>
              <w:keepNext w:val="0"/>
              <w:keepLines w:val="0"/>
              <w:pageBreakBefore w:val="0"/>
              <w:kinsoku/>
              <w:wordWrap/>
              <w:overflowPunct/>
              <w:topLinePunct w:val="0"/>
              <w:bidi w:val="0"/>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汽运自提</w:t>
            </w:r>
          </w:p>
        </w:tc>
        <w:tc>
          <w:tcPr>
            <w:tcW w:w="1482" w:type="dxa"/>
            <w:noWrap w:val="0"/>
            <w:vAlign w:val="center"/>
          </w:tcPr>
          <w:p>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14" w:type="dxa"/>
            <w:noWrap w:val="0"/>
            <w:vAlign w:val="center"/>
          </w:tcPr>
          <w:p>
            <w:pPr>
              <w:keepNext w:val="0"/>
              <w:keepLines w:val="0"/>
              <w:pageBreakBefore w:val="0"/>
              <w:kinsoku/>
              <w:wordWrap/>
              <w:overflowPunct/>
              <w:topLinePunct w:val="0"/>
              <w:bidi w:val="0"/>
              <w:adjustRightInd w:val="0"/>
              <w:snapToGrid w:val="0"/>
              <w:spacing w:line="56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成品骨料（花岗岩）</w:t>
            </w:r>
          </w:p>
        </w:tc>
        <w:tc>
          <w:tcPr>
            <w:tcW w:w="1564" w:type="dxa"/>
            <w:noWrap w:val="0"/>
            <w:vAlign w:val="center"/>
          </w:tcPr>
          <w:p>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10-26mm</w:t>
            </w:r>
          </w:p>
        </w:tc>
        <w:tc>
          <w:tcPr>
            <w:tcW w:w="1649" w:type="dxa"/>
            <w:noWrap w:val="0"/>
            <w:vAlign w:val="top"/>
          </w:tcPr>
          <w:p>
            <w:pPr>
              <w:keepNext w:val="0"/>
              <w:keepLines w:val="0"/>
              <w:pageBreakBefore w:val="0"/>
              <w:kinsoku/>
              <w:wordWrap/>
              <w:overflowPunct/>
              <w:topLinePunct w:val="0"/>
              <w:bidi w:val="0"/>
              <w:spacing w:line="560" w:lineRule="exact"/>
              <w:ind w:firstLine="560" w:firstLineChars="200"/>
              <w:jc w:val="center"/>
              <w:textAlignment w:val="auto"/>
              <w:rPr>
                <w:rFonts w:hint="default" w:ascii="仿宋_GB2312" w:hAnsi="仿宋_GB2312" w:eastAsia="仿宋_GB2312" w:cs="仿宋_GB2312"/>
                <w:color w:val="auto"/>
                <w:sz w:val="28"/>
                <w:szCs w:val="28"/>
                <w:highlight w:val="none"/>
                <w:lang w:val="en-US" w:eastAsia="zh-CN"/>
              </w:rPr>
            </w:pPr>
          </w:p>
        </w:tc>
        <w:tc>
          <w:tcPr>
            <w:tcW w:w="1675" w:type="dxa"/>
            <w:noWrap w:val="0"/>
            <w:vAlign w:val="center"/>
          </w:tcPr>
          <w:p>
            <w:pPr>
              <w:keepNext w:val="0"/>
              <w:keepLines w:val="0"/>
              <w:pageBreakBefore w:val="0"/>
              <w:kinsoku/>
              <w:wordWrap/>
              <w:overflowPunct/>
              <w:topLinePunct w:val="0"/>
              <w:bidi w:val="0"/>
              <w:spacing w:line="560" w:lineRule="exact"/>
              <w:jc w:val="both"/>
              <w:textAlignment w:val="auto"/>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65</w:t>
            </w:r>
          </w:p>
        </w:tc>
        <w:tc>
          <w:tcPr>
            <w:tcW w:w="1617" w:type="dxa"/>
            <w:noWrap w:val="0"/>
            <w:vAlign w:val="center"/>
          </w:tcPr>
          <w:p>
            <w:pPr>
              <w:keepNext w:val="0"/>
              <w:keepLines w:val="0"/>
              <w:pageBreakBefore w:val="0"/>
              <w:kinsoku/>
              <w:wordWrap/>
              <w:overflowPunct/>
              <w:topLinePunct w:val="0"/>
              <w:bidi w:val="0"/>
              <w:spacing w:line="560" w:lineRule="exact"/>
              <w:ind w:left="0" w:leftChars="0" w:firstLine="0" w:firstLineChars="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汽运自提</w:t>
            </w:r>
          </w:p>
        </w:tc>
        <w:tc>
          <w:tcPr>
            <w:tcW w:w="1482" w:type="dxa"/>
            <w:noWrap w:val="0"/>
            <w:vAlign w:val="center"/>
          </w:tcPr>
          <w:p>
            <w:pPr>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50万</w:t>
            </w:r>
          </w:p>
        </w:tc>
      </w:tr>
    </w:tbl>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rPr>
      </w:pP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第二条  质量要求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乙方供应的碎石质量需遵照GB/T 14685-2022、GB/T 14684-2022等国家标准执行，合同履行过程中如有颁布最新标准，则按最新标准执行。</w:t>
      </w: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第三条  交货时间、交货地点、交货方式、货物签收及运杂费结算</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u w:val="none"/>
          <w:lang w:val="en-US"/>
        </w:rPr>
      </w:pPr>
      <w:r>
        <w:rPr>
          <w:rFonts w:hint="eastAsia" w:ascii="仿宋_GB2312" w:hAnsi="仿宋_GB2312" w:eastAsia="仿宋_GB2312" w:cs="仿宋_GB2312"/>
          <w:color w:val="auto"/>
          <w:sz w:val="32"/>
          <w:szCs w:val="32"/>
          <w:highlight w:val="none"/>
        </w:rPr>
        <w:t>1、交货时间：</w:t>
      </w:r>
      <w:r>
        <w:rPr>
          <w:rFonts w:hint="eastAsia" w:ascii="仿宋_GB2312" w:hAnsi="仿宋_GB2312" w:cs="仿宋_GB2312"/>
          <w:color w:val="auto"/>
          <w:sz w:val="32"/>
          <w:szCs w:val="32"/>
          <w:highlight w:val="none"/>
          <w:u w:val="none"/>
          <w:lang w:val="en-US" w:eastAsia="zh-CN"/>
        </w:rPr>
        <w:t>乙方在完成相关手续且收到甲方发送的产品需求计划及支付的预付款后，乙方应在收到要求之日起</w:t>
      </w:r>
      <w:r>
        <w:rPr>
          <w:rFonts w:hint="eastAsia" w:ascii="仿宋_GB2312" w:hAnsi="仿宋_GB2312" w:cs="仿宋_GB2312"/>
          <w:color w:val="auto"/>
          <w:sz w:val="32"/>
          <w:szCs w:val="32"/>
          <w:highlight w:val="none"/>
          <w:u w:val="single"/>
          <w:lang w:val="en-US" w:eastAsia="zh-CN"/>
        </w:rPr>
        <w:t xml:space="preserve"> 五  </w:t>
      </w:r>
      <w:r>
        <w:rPr>
          <w:rFonts w:hint="eastAsia" w:ascii="仿宋_GB2312" w:hAnsi="仿宋_GB2312" w:cs="仿宋_GB2312"/>
          <w:color w:val="auto"/>
          <w:sz w:val="32"/>
          <w:szCs w:val="32"/>
          <w:highlight w:val="none"/>
          <w:u w:val="none"/>
          <w:lang w:val="en-US" w:eastAsia="zh-CN"/>
        </w:rPr>
        <w:t>个工作日内回复甲方预计备货完成时间。备货时间应根据产品生产周期、原材料供应短缺等不可预见、不可避免的原因导致备货时间延长，乙方应在知悉情况后</w:t>
      </w:r>
      <w:r>
        <w:rPr>
          <w:rFonts w:hint="eastAsia" w:ascii="仿宋_GB2312" w:hAnsi="仿宋_GB2312" w:cs="仿宋_GB2312"/>
          <w:color w:val="auto"/>
          <w:sz w:val="32"/>
          <w:szCs w:val="32"/>
          <w:highlight w:val="none"/>
          <w:u w:val="single"/>
          <w:lang w:val="en-US" w:eastAsia="zh-CN"/>
        </w:rPr>
        <w:t xml:space="preserve"> 五 </w:t>
      </w:r>
      <w:r>
        <w:rPr>
          <w:rFonts w:hint="eastAsia" w:ascii="仿宋_GB2312" w:hAnsi="仿宋_GB2312" w:cs="仿宋_GB2312"/>
          <w:color w:val="auto"/>
          <w:sz w:val="32"/>
          <w:szCs w:val="32"/>
          <w:highlight w:val="none"/>
          <w:u w:val="none"/>
          <w:lang w:val="en-US" w:eastAsia="zh-CN"/>
        </w:rPr>
        <w:t>个工作日内书面通知甲方，并说明新的预计备货完成时间。</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2、交货方式及地点</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color w:val="auto"/>
          <w:sz w:val="32"/>
          <w:szCs w:val="32"/>
          <w:highlight w:val="none"/>
          <w:u w:val="single"/>
        </w:rPr>
      </w:pP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方自提：</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方自行安排运输工具提货，运杂费由</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方承担</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装卸费用由乙方承担。</w:t>
      </w:r>
      <w:r>
        <w:rPr>
          <w:rFonts w:hint="eastAsia" w:ascii="仿宋_GB2312" w:hAnsi="仿宋_GB2312" w:eastAsia="仿宋_GB2312" w:cs="仿宋_GB2312"/>
          <w:color w:val="auto"/>
          <w:sz w:val="32"/>
          <w:szCs w:val="32"/>
          <w:highlight w:val="none"/>
        </w:rPr>
        <w:t>交货地点为</w:t>
      </w:r>
      <w:r>
        <w:rPr>
          <w:rFonts w:hint="eastAsia" w:ascii="仿宋_GB2312" w:hAnsi="仿宋_GB2312" w:cs="仿宋_GB2312"/>
          <w:color w:val="auto"/>
          <w:sz w:val="32"/>
          <w:szCs w:val="32"/>
          <w:highlight w:val="none"/>
          <w:u w:val="single"/>
          <w:lang w:val="en-US" w:eastAsia="zh-CN"/>
        </w:rPr>
        <w:t>儋州市西培农场端门岭</w:t>
      </w:r>
      <w:r>
        <w:rPr>
          <w:rFonts w:hint="eastAsia" w:ascii="仿宋_GB2312" w:hAnsi="仿宋_GB2312" w:eastAsia="仿宋_GB2312" w:cs="仿宋_GB2312"/>
          <w:color w:val="auto"/>
          <w:sz w:val="32"/>
          <w:szCs w:val="32"/>
          <w:highlight w:val="none"/>
          <w:u w:val="single"/>
        </w:rPr>
        <w:t>矿区</w:t>
      </w:r>
      <w:r>
        <w:rPr>
          <w:rFonts w:hint="eastAsia" w:ascii="仿宋_GB2312" w:hAnsi="仿宋_GB2312" w:cs="仿宋_GB2312"/>
          <w:color w:val="auto"/>
          <w:sz w:val="32"/>
          <w:szCs w:val="32"/>
          <w:highlight w:val="none"/>
          <w:u w:val="single"/>
          <w:lang w:val="en-US" w:eastAsia="zh-CN"/>
        </w:rPr>
        <w:t>乙方指定区域（如甲方对装卸有新要求需向项目总承包方协商相关费用）</w:t>
      </w:r>
      <w:r>
        <w:rPr>
          <w:rFonts w:hint="eastAsia" w:ascii="仿宋_GB2312" w:hAnsi="仿宋_GB2312" w:eastAsia="仿宋_GB2312" w:cs="仿宋_GB2312"/>
          <w:color w:val="auto"/>
          <w:sz w:val="32"/>
          <w:szCs w:val="32"/>
          <w:highlight w:val="none"/>
        </w:rPr>
        <w:t>。</w:t>
      </w:r>
    </w:p>
    <w:p>
      <w:pPr>
        <w:keepNext w:val="0"/>
        <w:keepLines w:val="0"/>
        <w:pageBreakBefore w:val="0"/>
        <w:numPr>
          <w:ilvl w:val="0"/>
          <w:numId w:val="1"/>
        </w:numPr>
        <w:kinsoku/>
        <w:wordWrap/>
        <w:overflowPunct/>
        <w:topLinePunct w:val="0"/>
        <w:bidi w:val="0"/>
        <w:adjustRightInd w:val="0"/>
        <w:snapToGrid w:val="0"/>
        <w:spacing w:line="560" w:lineRule="exact"/>
        <w:ind w:left="-40" w:leftChars="0" w:firstLine="640" w:firstLineChars="0"/>
        <w:jc w:val="left"/>
        <w:textAlignment w:val="auto"/>
        <w:outlineLvl w:val="0"/>
        <w:rPr>
          <w:rFonts w:hint="eastAsia"/>
        </w:rPr>
      </w:pPr>
      <w:r>
        <w:rPr>
          <w:rFonts w:hint="eastAsia" w:ascii="仿宋_GB2312" w:hAnsi="仿宋_GB2312" w:eastAsia="仿宋_GB2312" w:cs="仿宋_GB2312"/>
          <w:color w:val="auto"/>
          <w:sz w:val="32"/>
          <w:szCs w:val="32"/>
          <w:highlight w:val="none"/>
        </w:rPr>
        <w:t>货物签收：本合同签订后首次交货前，</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方应向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方提供代表</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方签收货物的人员的书面授权书（加盖</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方公章），内容包括签收人员的姓名、身份证复印件、联系电话及签名样本等。交货时由</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方授权的签收人员代表</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方履行产品签收手续。合同期间，</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方签收人员若发生变更，</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方应提前</w:t>
      </w:r>
      <w:r>
        <w:rPr>
          <w:rFonts w:hint="eastAsia" w:ascii="仿宋_GB2312" w:hAnsi="仿宋_GB2312" w:cs="仿宋_GB2312"/>
          <w:color w:val="auto"/>
          <w:sz w:val="32"/>
          <w:szCs w:val="32"/>
          <w:highlight w:val="none"/>
          <w:u w:val="single"/>
          <w:lang w:val="en-US" w:eastAsia="zh-CN"/>
        </w:rPr>
        <w:t xml:space="preserve"> 三 </w:t>
      </w:r>
      <w:r>
        <w:rPr>
          <w:rFonts w:hint="eastAsia" w:ascii="仿宋_GB2312" w:hAnsi="仿宋_GB2312" w:cs="仿宋_GB2312"/>
          <w:color w:val="auto"/>
          <w:sz w:val="32"/>
          <w:szCs w:val="32"/>
          <w:highlight w:val="none"/>
          <w:u w:val="none"/>
          <w:lang w:val="en-US" w:eastAsia="zh-CN"/>
        </w:rPr>
        <w:t>个工作日</w:t>
      </w:r>
      <w:r>
        <w:rPr>
          <w:rFonts w:hint="eastAsia" w:ascii="仿宋_GB2312" w:hAnsi="仿宋_GB2312" w:eastAsia="仿宋_GB2312" w:cs="仿宋_GB2312"/>
          <w:color w:val="auto"/>
          <w:sz w:val="32"/>
          <w:szCs w:val="32"/>
          <w:highlight w:val="none"/>
        </w:rPr>
        <w:t>书面通知</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方并经甲方书面确认，否则，由此引起的一切损失及责任，由</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方自行承担。</w:t>
      </w:r>
    </w:p>
    <w:p>
      <w:pPr>
        <w:keepNext w:val="0"/>
        <w:keepLines w:val="0"/>
        <w:pageBreakBefore w:val="0"/>
        <w:numPr>
          <w:ilvl w:val="0"/>
          <w:numId w:val="1"/>
        </w:numPr>
        <w:kinsoku/>
        <w:wordWrap/>
        <w:overflowPunct/>
        <w:topLinePunct w:val="0"/>
        <w:bidi w:val="0"/>
        <w:adjustRightInd w:val="0"/>
        <w:snapToGrid w:val="0"/>
        <w:spacing w:line="560" w:lineRule="exact"/>
        <w:ind w:left="-40" w:leftChars="0" w:firstLine="640" w:firstLineChars="0"/>
        <w:jc w:val="left"/>
        <w:textAlignment w:val="auto"/>
        <w:outlineLvl w:val="0"/>
        <w:rPr>
          <w:rFonts w:hint="default"/>
          <w:lang w:val="en-US"/>
        </w:rPr>
      </w:pPr>
      <w:r>
        <w:rPr>
          <w:rFonts w:hint="eastAsia" w:ascii="仿宋_GB2312" w:hAnsi="仿宋_GB2312" w:cs="仿宋_GB2312"/>
          <w:color w:val="auto"/>
          <w:sz w:val="32"/>
          <w:szCs w:val="32"/>
          <w:highlight w:val="none"/>
          <w:lang w:val="en-US" w:eastAsia="zh-CN"/>
        </w:rPr>
        <w:t>交付时间:甲方支付完首批预付款后，乙方最迟应于</w:t>
      </w:r>
      <w:r>
        <w:rPr>
          <w:rFonts w:hint="eastAsia" w:ascii="仿宋_GB2312" w:hAnsi="仿宋_GB2312" w:cs="仿宋_GB2312"/>
          <w:color w:val="auto"/>
          <w:sz w:val="32"/>
          <w:szCs w:val="32"/>
          <w:highlight w:val="none"/>
          <w:u w:val="single"/>
          <w:lang w:val="en-US" w:eastAsia="zh-CN"/>
        </w:rPr>
        <w:t>2026年1月</w:t>
      </w:r>
      <w:r>
        <w:rPr>
          <w:rFonts w:hint="eastAsia" w:ascii="仿宋_GB2312" w:hAnsi="仿宋_GB2312" w:cs="仿宋_GB2312"/>
          <w:color w:val="auto"/>
          <w:sz w:val="32"/>
          <w:szCs w:val="32"/>
          <w:highlight w:val="none"/>
          <w:u w:val="none"/>
          <w:lang w:val="en-US" w:eastAsia="zh-CN"/>
        </w:rPr>
        <w:t>后</w:t>
      </w:r>
      <w:r>
        <w:rPr>
          <w:rFonts w:hint="eastAsia" w:ascii="仿宋_GB2312" w:hAnsi="仿宋_GB2312" w:cs="仿宋_GB2312"/>
          <w:color w:val="auto"/>
          <w:sz w:val="32"/>
          <w:szCs w:val="32"/>
          <w:highlight w:val="none"/>
          <w:lang w:val="en-US" w:eastAsia="zh-CN"/>
        </w:rPr>
        <w:t>开始向甲方供应符合本合同约定的毛石标的物；乙方最迟于</w:t>
      </w:r>
      <w:r>
        <w:rPr>
          <w:rFonts w:hint="eastAsia" w:ascii="仿宋_GB2312" w:hAnsi="仿宋_GB2312" w:cs="仿宋_GB2312"/>
          <w:color w:val="auto"/>
          <w:sz w:val="32"/>
          <w:szCs w:val="32"/>
          <w:highlight w:val="none"/>
          <w:u w:val="single"/>
          <w:lang w:val="en-US" w:eastAsia="zh-CN"/>
        </w:rPr>
        <w:t>2026年6月</w:t>
      </w:r>
      <w:r>
        <w:rPr>
          <w:rFonts w:hint="eastAsia" w:ascii="仿宋_GB2312" w:hAnsi="仿宋_GB2312" w:cs="仿宋_GB2312"/>
          <w:color w:val="auto"/>
          <w:sz w:val="32"/>
          <w:szCs w:val="32"/>
          <w:highlight w:val="none"/>
          <w:lang w:val="en-US" w:eastAsia="zh-CN"/>
        </w:rPr>
        <w:t>后开始向甲方供应符合本合同约定的碎石标的物，并自首次供货之日起</w:t>
      </w:r>
      <w:r>
        <w:rPr>
          <w:rFonts w:hint="eastAsia" w:ascii="仿宋_GB2312" w:hAnsi="仿宋_GB2312" w:cs="仿宋_GB2312"/>
          <w:color w:val="auto"/>
          <w:sz w:val="32"/>
          <w:szCs w:val="32"/>
          <w:highlight w:val="none"/>
          <w:u w:val="single"/>
          <w:lang w:val="en-US" w:eastAsia="zh-CN"/>
        </w:rPr>
        <w:t xml:space="preserve"> 两 </w:t>
      </w:r>
      <w:r>
        <w:rPr>
          <w:rFonts w:hint="eastAsia" w:ascii="仿宋_GB2312" w:hAnsi="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lang w:val="en-US" w:eastAsia="zh-CN"/>
        </w:rPr>
        <w:t>内向甲方履行完毕全部供货义务。但因不可归责于乙方的原因（如重大政策调整、自然灾害等客观因素）导致供货计划需调整的，乙方应及时通知甲方，供货期限相应顺延，顺延期间不视为违约。</w:t>
      </w:r>
    </w:p>
    <w:p>
      <w:pPr>
        <w:pStyle w:val="2"/>
        <w:keepNext w:val="0"/>
        <w:keepLines w:val="0"/>
        <w:numPr>
          <w:ilvl w:val="0"/>
          <w:numId w:val="1"/>
        </w:numPr>
        <w:kinsoku/>
        <w:wordWrap/>
        <w:overflowPunct/>
        <w:topLinePunct w:val="0"/>
        <w:bidi w:val="0"/>
        <w:spacing w:line="560" w:lineRule="exact"/>
        <w:ind w:left="-40" w:leftChars="0" w:firstLine="640" w:firstLineChars="0"/>
        <w:jc w:val="left"/>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最低供货量：乙方应当保证毛石按照不少于</w:t>
      </w:r>
      <w:r>
        <w:rPr>
          <w:rFonts w:hint="eastAsia" w:ascii="仿宋_GB2312" w:hAnsi="仿宋_GB2312" w:cs="仿宋_GB2312"/>
          <w:color w:val="auto"/>
          <w:sz w:val="32"/>
          <w:szCs w:val="32"/>
          <w:highlight w:val="none"/>
          <w:u w:val="single"/>
          <w:lang w:val="en-US" w:eastAsia="zh-CN"/>
        </w:rPr>
        <w:t>伍万</w:t>
      </w:r>
      <w:r>
        <w:rPr>
          <w:rFonts w:hint="eastAsia" w:ascii="仿宋_GB2312" w:hAnsi="仿宋_GB2312" w:cs="仿宋_GB2312"/>
          <w:color w:val="auto"/>
          <w:sz w:val="32"/>
          <w:szCs w:val="32"/>
          <w:highlight w:val="none"/>
          <w:u w:val="none"/>
          <w:lang w:val="en-US" w:eastAsia="zh-CN"/>
        </w:rPr>
        <w:t>吨</w:t>
      </w:r>
      <w:r>
        <w:rPr>
          <w:rFonts w:hint="eastAsia" w:ascii="仿宋_GB2312" w:hAnsi="仿宋_GB2312" w:cs="仿宋_GB2312"/>
          <w:color w:val="auto"/>
          <w:sz w:val="32"/>
          <w:szCs w:val="32"/>
          <w:highlight w:val="none"/>
          <w:lang w:val="en-US" w:eastAsia="zh-CN"/>
        </w:rPr>
        <w:t>/月，碎石不少于</w:t>
      </w:r>
      <w:r>
        <w:rPr>
          <w:rFonts w:hint="eastAsia" w:ascii="仿宋_GB2312" w:hAnsi="仿宋_GB2312" w:cs="仿宋_GB2312"/>
          <w:color w:val="auto"/>
          <w:sz w:val="32"/>
          <w:szCs w:val="32"/>
          <w:highlight w:val="none"/>
          <w:u w:val="single"/>
          <w:lang w:val="en-US" w:eastAsia="zh-CN"/>
        </w:rPr>
        <w:t>贰万伍仟万</w:t>
      </w:r>
      <w:r>
        <w:rPr>
          <w:rFonts w:hint="eastAsia" w:ascii="仿宋_GB2312" w:hAnsi="仿宋_GB2312" w:cs="仿宋_GB2312"/>
          <w:color w:val="auto"/>
          <w:sz w:val="32"/>
          <w:szCs w:val="32"/>
          <w:highlight w:val="none"/>
          <w:lang w:val="en-US" w:eastAsia="zh-CN"/>
        </w:rPr>
        <w:t>吨/月的最低供货量向甲方供货。如因政府环保督察、安全生产整顿、政策调整、不可抗力、设备检修、运输受限、季节性生产波动等不可归责于乙方的客观原因导致无法达到最低供货量的，乙方不承担违约责任，供货计划可由双方协商调整。</w:t>
      </w:r>
    </w:p>
    <w:p>
      <w:pPr>
        <w:pStyle w:val="2"/>
        <w:keepNext w:val="0"/>
        <w:keepLines w:val="0"/>
        <w:numPr>
          <w:ilvl w:val="0"/>
          <w:numId w:val="1"/>
        </w:numPr>
        <w:kinsoku/>
        <w:wordWrap/>
        <w:overflowPunct/>
        <w:topLinePunct w:val="0"/>
        <w:bidi w:val="0"/>
        <w:spacing w:line="560" w:lineRule="exact"/>
        <w:ind w:left="-40" w:leftChars="0" w:firstLine="640" w:firstLineChars="0"/>
        <w:jc w:val="left"/>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甲方连续两个月未完成提货量的，乙方有权调整后续月度供货计划</w:t>
      </w:r>
    </w:p>
    <w:p>
      <w:pPr>
        <w:pStyle w:val="2"/>
        <w:keepNext w:val="0"/>
        <w:keepLines w:val="0"/>
        <w:numPr>
          <w:ilvl w:val="0"/>
          <w:numId w:val="1"/>
        </w:numPr>
        <w:kinsoku/>
        <w:wordWrap/>
        <w:overflowPunct/>
        <w:topLinePunct w:val="0"/>
        <w:bidi w:val="0"/>
        <w:spacing w:line="560" w:lineRule="exact"/>
        <w:ind w:left="-40" w:leftChars="0" w:firstLine="640" w:firstLineChars="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提货</w:t>
      </w:r>
    </w:p>
    <w:p>
      <w:pPr>
        <w:pStyle w:val="2"/>
        <w:keepNext w:val="0"/>
        <w:keepLines w:val="0"/>
        <w:numPr>
          <w:ilvl w:val="0"/>
          <w:numId w:val="0"/>
        </w:numPr>
        <w:kinsoku/>
        <w:wordWrap/>
        <w:overflowPunct/>
        <w:topLinePunct w:val="0"/>
        <w:bidi w:val="0"/>
        <w:spacing w:line="560" w:lineRule="exact"/>
        <w:ind w:firstLine="640" w:firstLineChars="200"/>
        <w:jc w:val="left"/>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（1）提货期限：乙方完成备货后，应及时书面通知甲方提货（提货时间为正常生产工作时间），通知方式包括但不限于书面通知、电子邮件、短信等。甲方应在收到通知后</w:t>
      </w:r>
      <w:r>
        <w:rPr>
          <w:rFonts w:hint="eastAsia" w:ascii="仿宋_GB2312" w:hAnsi="仿宋_GB2312" w:cs="仿宋_GB2312"/>
          <w:color w:val="auto"/>
          <w:sz w:val="32"/>
          <w:szCs w:val="32"/>
          <w:highlight w:val="none"/>
          <w:u w:val="single"/>
          <w:lang w:val="en-US" w:eastAsia="zh-CN"/>
        </w:rPr>
        <w:t xml:space="preserve"> 七 </w:t>
      </w:r>
      <w:r>
        <w:rPr>
          <w:rFonts w:hint="eastAsia" w:ascii="仿宋_GB2312" w:hAnsi="仿宋_GB2312" w:cs="仿宋_GB2312"/>
          <w:color w:val="auto"/>
          <w:sz w:val="32"/>
          <w:szCs w:val="32"/>
          <w:highlight w:val="none"/>
          <w:lang w:val="en-US" w:eastAsia="zh-CN"/>
        </w:rPr>
        <w:t>个工作日内安排提货并完成已备货物的提离，并自首次供货之日起</w:t>
      </w:r>
      <w:r>
        <w:rPr>
          <w:rFonts w:hint="eastAsia" w:ascii="仿宋_GB2312" w:hAnsi="仿宋_GB2312" w:cs="仿宋_GB2312"/>
          <w:color w:val="auto"/>
          <w:sz w:val="32"/>
          <w:szCs w:val="32"/>
          <w:highlight w:val="none"/>
          <w:u w:val="single"/>
          <w:lang w:val="en-US" w:eastAsia="zh-CN"/>
        </w:rPr>
        <w:t xml:space="preserve"> 两 </w:t>
      </w:r>
      <w:r>
        <w:rPr>
          <w:rFonts w:hint="eastAsia" w:ascii="仿宋_GB2312" w:hAnsi="仿宋_GB2312" w:cs="仿宋_GB2312"/>
          <w:color w:val="auto"/>
          <w:sz w:val="32"/>
          <w:szCs w:val="32"/>
          <w:highlight w:val="none"/>
          <w:u w:val="none"/>
          <w:lang w:val="en-US" w:eastAsia="zh-CN"/>
        </w:rPr>
        <w:t>年</w:t>
      </w:r>
      <w:r>
        <w:rPr>
          <w:rFonts w:hint="eastAsia" w:ascii="仿宋_GB2312" w:hAnsi="仿宋_GB2312" w:cs="仿宋_GB2312"/>
          <w:color w:val="auto"/>
          <w:sz w:val="32"/>
          <w:szCs w:val="32"/>
          <w:highlight w:val="none"/>
          <w:lang w:val="en-US" w:eastAsia="zh-CN"/>
        </w:rPr>
        <w:t>内履行完毕全部提货义务。若甲方未在规定时间内提货，应提前</w:t>
      </w:r>
      <w:r>
        <w:rPr>
          <w:rFonts w:hint="eastAsia" w:ascii="仿宋_GB2312" w:hAnsi="仿宋_GB2312" w:cs="仿宋_GB2312"/>
          <w:color w:val="auto"/>
          <w:sz w:val="32"/>
          <w:szCs w:val="32"/>
          <w:highlight w:val="none"/>
          <w:u w:val="single"/>
          <w:lang w:val="en-US" w:eastAsia="zh-CN"/>
        </w:rPr>
        <w:t xml:space="preserve"> 三 </w:t>
      </w:r>
      <w:r>
        <w:rPr>
          <w:rFonts w:hint="eastAsia" w:ascii="仿宋_GB2312" w:hAnsi="仿宋_GB2312" w:cs="仿宋_GB2312"/>
          <w:color w:val="auto"/>
          <w:sz w:val="32"/>
          <w:szCs w:val="32"/>
          <w:highlight w:val="none"/>
          <w:lang w:val="en-US" w:eastAsia="zh-CN"/>
        </w:rPr>
        <w:t>个工作日书面通知乙方并说明原因，经乙方书面同意后方可延期提货。若甲方未在规定时间内提货且未向乙方书面说明原因的，延迟提货给乙方造成的经济损失，由甲方进行赔偿。</w:t>
      </w:r>
    </w:p>
    <w:p>
      <w:pPr>
        <w:keepNext w:val="0"/>
        <w:keepLine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cs="仿宋_GB2312"/>
          <w:color w:val="auto"/>
          <w:kern w:val="0"/>
          <w:sz w:val="32"/>
          <w:szCs w:val="32"/>
          <w:highlight w:val="none"/>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异议：</w:t>
      </w:r>
      <w:r>
        <w:rPr>
          <w:rFonts w:hint="eastAsia" w:ascii="仿宋_GB2312" w:hAnsi="仿宋_GB2312" w:cs="仿宋_GB2312"/>
          <w:color w:val="auto"/>
          <w:kern w:val="0"/>
          <w:sz w:val="32"/>
          <w:szCs w:val="32"/>
          <w:highlight w:val="none"/>
          <w:lang w:val="en-US" w:eastAsia="zh-CN" w:bidi="ar-SA"/>
        </w:rPr>
        <w:t>甲</w:t>
      </w:r>
      <w:r>
        <w:rPr>
          <w:rFonts w:hint="eastAsia" w:ascii="仿宋_GB2312" w:hAnsi="仿宋_GB2312" w:eastAsia="仿宋_GB2312" w:cs="仿宋_GB2312"/>
          <w:color w:val="auto"/>
          <w:kern w:val="0"/>
          <w:sz w:val="32"/>
          <w:szCs w:val="32"/>
          <w:highlight w:val="none"/>
          <w:lang w:val="en-US" w:eastAsia="zh-CN" w:bidi="ar-SA"/>
        </w:rPr>
        <w:t>方对</w:t>
      </w:r>
      <w:r>
        <w:rPr>
          <w:rFonts w:hint="eastAsia" w:ascii="仿宋_GB2312" w:hAnsi="仿宋_GB2312" w:cs="仿宋_GB2312"/>
          <w:color w:val="auto"/>
          <w:kern w:val="0"/>
          <w:sz w:val="32"/>
          <w:szCs w:val="32"/>
          <w:highlight w:val="none"/>
          <w:lang w:val="en-US" w:eastAsia="zh-CN" w:bidi="ar-SA"/>
        </w:rPr>
        <w:t>乙</w:t>
      </w:r>
      <w:r>
        <w:rPr>
          <w:rFonts w:hint="eastAsia" w:ascii="仿宋_GB2312" w:hAnsi="仿宋_GB2312" w:eastAsia="仿宋_GB2312" w:cs="仿宋_GB2312"/>
          <w:color w:val="auto"/>
          <w:kern w:val="0"/>
          <w:sz w:val="32"/>
          <w:szCs w:val="32"/>
          <w:highlight w:val="none"/>
          <w:lang w:val="en-US" w:eastAsia="zh-CN" w:bidi="ar-SA"/>
        </w:rPr>
        <w:t>方所供石料的品类、规格、质量、数量有异议的，可在提货后</w:t>
      </w:r>
      <w:r>
        <w:rPr>
          <w:rFonts w:hint="eastAsia" w:ascii="仿宋_GB2312" w:hAnsi="仿宋_GB2312" w:cs="仿宋_GB2312"/>
          <w:color w:val="auto"/>
          <w:kern w:val="0"/>
          <w:sz w:val="32"/>
          <w:szCs w:val="32"/>
          <w:highlight w:val="none"/>
          <w:u w:val="single"/>
          <w:lang w:val="en-US" w:eastAsia="zh-CN" w:bidi="ar-SA"/>
        </w:rPr>
        <w:t xml:space="preserve"> 七 </w:t>
      </w:r>
      <w:r>
        <w:rPr>
          <w:rFonts w:hint="eastAsia" w:ascii="仿宋_GB2312" w:hAnsi="仿宋_GB2312" w:cs="仿宋_GB2312"/>
          <w:color w:val="auto"/>
          <w:kern w:val="0"/>
          <w:sz w:val="32"/>
          <w:szCs w:val="32"/>
          <w:highlight w:val="none"/>
          <w:u w:val="none"/>
          <w:lang w:val="en-US" w:eastAsia="zh-CN" w:bidi="ar-SA"/>
        </w:rPr>
        <w:t>个工作日</w:t>
      </w:r>
      <w:r>
        <w:rPr>
          <w:rFonts w:hint="eastAsia" w:ascii="仿宋_GB2312" w:hAnsi="仿宋_GB2312" w:eastAsia="仿宋_GB2312" w:cs="仿宋_GB2312"/>
          <w:color w:val="auto"/>
          <w:kern w:val="0"/>
          <w:sz w:val="32"/>
          <w:szCs w:val="32"/>
          <w:highlight w:val="none"/>
          <w:lang w:val="en-US" w:eastAsia="zh-CN" w:bidi="ar-SA"/>
        </w:rPr>
        <w:t>内以书面形式向</w:t>
      </w:r>
      <w:r>
        <w:rPr>
          <w:rFonts w:hint="eastAsia" w:ascii="仿宋_GB2312" w:hAnsi="仿宋_GB2312" w:cs="仿宋_GB2312"/>
          <w:color w:val="auto"/>
          <w:kern w:val="0"/>
          <w:sz w:val="32"/>
          <w:szCs w:val="32"/>
          <w:highlight w:val="none"/>
          <w:lang w:val="en-US" w:eastAsia="zh-CN" w:bidi="ar-SA"/>
        </w:rPr>
        <w:t>乙</w:t>
      </w:r>
      <w:r>
        <w:rPr>
          <w:rFonts w:hint="eastAsia" w:ascii="仿宋_GB2312" w:hAnsi="仿宋_GB2312" w:eastAsia="仿宋_GB2312" w:cs="仿宋_GB2312"/>
          <w:color w:val="auto"/>
          <w:kern w:val="0"/>
          <w:sz w:val="32"/>
          <w:szCs w:val="32"/>
          <w:highlight w:val="none"/>
          <w:lang w:val="en-US" w:eastAsia="zh-CN" w:bidi="ar-SA"/>
        </w:rPr>
        <w:t>方提出，否则视为质量合格。</w:t>
      </w:r>
      <w:r>
        <w:rPr>
          <w:rFonts w:hint="eastAsia" w:ascii="仿宋_GB2312" w:hAnsi="仿宋_GB2312" w:cs="仿宋_GB2312"/>
          <w:color w:val="auto"/>
          <w:kern w:val="0"/>
          <w:sz w:val="32"/>
          <w:szCs w:val="32"/>
          <w:highlight w:val="none"/>
          <w:lang w:val="en-US" w:eastAsia="zh-CN" w:bidi="ar-SA"/>
        </w:rPr>
        <w:t>乙</w:t>
      </w:r>
      <w:r>
        <w:rPr>
          <w:rFonts w:hint="eastAsia" w:ascii="仿宋_GB2312" w:hAnsi="仿宋_GB2312" w:eastAsia="仿宋_GB2312" w:cs="仿宋_GB2312"/>
          <w:color w:val="auto"/>
          <w:kern w:val="0"/>
          <w:sz w:val="32"/>
          <w:szCs w:val="32"/>
          <w:highlight w:val="none"/>
          <w:lang w:val="en-US" w:eastAsia="zh-CN" w:bidi="ar-SA"/>
        </w:rPr>
        <w:t>方应于接到书面异议后</w:t>
      </w:r>
      <w:r>
        <w:rPr>
          <w:rFonts w:hint="eastAsia" w:ascii="仿宋_GB2312" w:hAnsi="仿宋_GB2312" w:cs="仿宋_GB2312"/>
          <w:color w:val="auto"/>
          <w:kern w:val="0"/>
          <w:sz w:val="32"/>
          <w:szCs w:val="32"/>
          <w:highlight w:val="none"/>
          <w:u w:val="single"/>
          <w:lang w:val="en-US" w:eastAsia="zh-CN" w:bidi="ar-SA"/>
        </w:rPr>
        <w:t xml:space="preserve"> 七 </w:t>
      </w:r>
      <w:r>
        <w:rPr>
          <w:rFonts w:hint="eastAsia" w:ascii="仿宋_GB2312" w:hAnsi="仿宋_GB2312" w:cs="仿宋_GB2312"/>
          <w:color w:val="auto"/>
          <w:kern w:val="0"/>
          <w:sz w:val="32"/>
          <w:szCs w:val="32"/>
          <w:highlight w:val="none"/>
          <w:u w:val="none"/>
          <w:lang w:val="en-US" w:eastAsia="zh-CN" w:bidi="ar-SA"/>
        </w:rPr>
        <w:t>个工作</w:t>
      </w:r>
      <w:r>
        <w:rPr>
          <w:rFonts w:hint="eastAsia" w:ascii="仿宋_GB2312" w:hAnsi="仿宋_GB2312" w:eastAsia="仿宋_GB2312" w:cs="仿宋_GB2312"/>
          <w:color w:val="auto"/>
          <w:kern w:val="0"/>
          <w:sz w:val="32"/>
          <w:szCs w:val="32"/>
          <w:highlight w:val="none"/>
          <w:lang w:val="en-US" w:eastAsia="zh-CN" w:bidi="ar-SA"/>
        </w:rPr>
        <w:t>日内核实并与</w:t>
      </w:r>
      <w:r>
        <w:rPr>
          <w:rFonts w:hint="eastAsia" w:ascii="仿宋_GB2312" w:hAnsi="仿宋_GB2312" w:cs="仿宋_GB2312"/>
          <w:color w:val="auto"/>
          <w:kern w:val="0"/>
          <w:sz w:val="32"/>
          <w:szCs w:val="32"/>
          <w:highlight w:val="none"/>
          <w:lang w:val="en-US" w:eastAsia="zh-CN" w:bidi="ar-SA"/>
        </w:rPr>
        <w:t>甲</w:t>
      </w:r>
      <w:r>
        <w:rPr>
          <w:rFonts w:hint="eastAsia" w:ascii="仿宋_GB2312" w:hAnsi="仿宋_GB2312" w:eastAsia="仿宋_GB2312" w:cs="仿宋_GB2312"/>
          <w:color w:val="auto"/>
          <w:kern w:val="0"/>
          <w:sz w:val="32"/>
          <w:szCs w:val="32"/>
          <w:highlight w:val="none"/>
          <w:lang w:val="en-US" w:eastAsia="zh-CN" w:bidi="ar-SA"/>
        </w:rPr>
        <w:t>方协商解决；协商不成的，由甲方和乙方共同委托具备国家认可资质的第三方检测机构进行质量检测，</w:t>
      </w:r>
      <w:r>
        <w:rPr>
          <w:rFonts w:hint="eastAsia" w:ascii="仿宋_GB2312" w:hAnsi="仿宋_GB2312" w:cs="仿宋_GB2312"/>
          <w:color w:val="auto"/>
          <w:kern w:val="0"/>
          <w:sz w:val="32"/>
          <w:szCs w:val="32"/>
          <w:highlight w:val="none"/>
          <w:lang w:val="en-US" w:eastAsia="zh-CN" w:bidi="ar-SA"/>
        </w:rPr>
        <w:t>乙</w:t>
      </w:r>
      <w:r>
        <w:rPr>
          <w:rFonts w:hint="eastAsia" w:ascii="仿宋_GB2312" w:hAnsi="仿宋_GB2312" w:eastAsia="仿宋_GB2312" w:cs="仿宋_GB2312"/>
          <w:color w:val="auto"/>
          <w:kern w:val="0"/>
          <w:sz w:val="32"/>
          <w:szCs w:val="32"/>
          <w:highlight w:val="none"/>
          <w:lang w:val="en-US" w:eastAsia="zh-CN" w:bidi="ar-SA"/>
        </w:rPr>
        <w:t>方无正当理由超过</w:t>
      </w:r>
      <w:r>
        <w:rPr>
          <w:rFonts w:hint="eastAsia" w:ascii="仿宋_GB2312" w:hAnsi="仿宋_GB2312" w:eastAsia="仿宋_GB2312" w:cs="仿宋_GB2312"/>
          <w:color w:val="auto"/>
          <w:kern w:val="0"/>
          <w:sz w:val="32"/>
          <w:szCs w:val="32"/>
          <w:highlight w:val="none"/>
          <w:u w:val="none"/>
          <w:lang w:val="en-US" w:eastAsia="zh-CN" w:bidi="ar-SA"/>
        </w:rPr>
        <w:t>24</w:t>
      </w:r>
      <w:r>
        <w:rPr>
          <w:rFonts w:hint="eastAsia" w:ascii="仿宋_GB2312" w:hAnsi="仿宋_GB2312" w:eastAsia="仿宋_GB2312" w:cs="仿宋_GB2312"/>
          <w:color w:val="auto"/>
          <w:kern w:val="0"/>
          <w:sz w:val="32"/>
          <w:szCs w:val="32"/>
          <w:highlight w:val="none"/>
          <w:lang w:val="en-US" w:eastAsia="zh-CN" w:bidi="ar-SA"/>
        </w:rPr>
        <w:t>小时拒不配合甲方和乙方共同选定的第三方检测机构检测的，或双方无法共同选定检测机构的，则</w:t>
      </w:r>
      <w:r>
        <w:rPr>
          <w:rFonts w:hint="eastAsia" w:ascii="仿宋_GB2312" w:hAnsi="仿宋_GB2312" w:cs="仿宋_GB2312"/>
          <w:color w:val="auto"/>
          <w:kern w:val="0"/>
          <w:sz w:val="32"/>
          <w:szCs w:val="32"/>
          <w:highlight w:val="none"/>
          <w:lang w:val="en-US" w:eastAsia="zh-CN" w:bidi="ar-SA"/>
        </w:rPr>
        <w:t>甲</w:t>
      </w:r>
      <w:r>
        <w:rPr>
          <w:rFonts w:hint="eastAsia" w:ascii="仿宋_GB2312" w:hAnsi="仿宋_GB2312" w:eastAsia="仿宋_GB2312" w:cs="仿宋_GB2312"/>
          <w:color w:val="auto"/>
          <w:kern w:val="0"/>
          <w:sz w:val="32"/>
          <w:szCs w:val="32"/>
          <w:highlight w:val="none"/>
          <w:lang w:val="en-US" w:eastAsia="zh-CN" w:bidi="ar-SA"/>
        </w:rPr>
        <w:t>方有权单方面委托第三方检测机构进行检测，检测结果为最终依据。经第三方检测机构检测，检测费用由</w:t>
      </w:r>
      <w:r>
        <w:rPr>
          <w:rFonts w:hint="eastAsia" w:ascii="仿宋_GB2312" w:hAnsi="仿宋_GB2312" w:cs="仿宋_GB2312"/>
          <w:color w:val="auto"/>
          <w:kern w:val="0"/>
          <w:sz w:val="32"/>
          <w:szCs w:val="32"/>
          <w:highlight w:val="none"/>
          <w:lang w:val="en-US" w:eastAsia="zh-CN" w:bidi="ar-SA"/>
        </w:rPr>
        <w:t>甲</w:t>
      </w:r>
      <w:r>
        <w:rPr>
          <w:rFonts w:hint="eastAsia" w:ascii="仿宋_GB2312" w:hAnsi="仿宋_GB2312" w:eastAsia="仿宋_GB2312" w:cs="仿宋_GB2312"/>
          <w:color w:val="auto"/>
          <w:kern w:val="0"/>
          <w:sz w:val="32"/>
          <w:szCs w:val="32"/>
          <w:highlight w:val="none"/>
          <w:lang w:val="en-US" w:eastAsia="zh-CN" w:bidi="ar-SA"/>
        </w:rPr>
        <w:t>方先行垫付，最终根据检测结果确定责任方承担。若质量不合格，</w:t>
      </w:r>
      <w:r>
        <w:rPr>
          <w:rFonts w:hint="eastAsia" w:ascii="仿宋_GB2312" w:hAnsi="仿宋_GB2312" w:cs="仿宋_GB2312"/>
          <w:color w:val="auto"/>
          <w:kern w:val="0"/>
          <w:sz w:val="32"/>
          <w:szCs w:val="32"/>
          <w:highlight w:val="none"/>
          <w:lang w:val="en-US" w:eastAsia="zh-CN" w:bidi="ar-SA"/>
        </w:rPr>
        <w:t>乙</w:t>
      </w:r>
      <w:r>
        <w:rPr>
          <w:rFonts w:hint="eastAsia" w:ascii="仿宋_GB2312" w:hAnsi="仿宋_GB2312" w:eastAsia="仿宋_GB2312" w:cs="仿宋_GB2312"/>
          <w:color w:val="auto"/>
          <w:kern w:val="0"/>
          <w:sz w:val="32"/>
          <w:szCs w:val="32"/>
          <w:highlight w:val="none"/>
          <w:lang w:val="en-US" w:eastAsia="zh-CN" w:bidi="ar-SA"/>
        </w:rPr>
        <w:t>方应按实际检测合格比例折价结算，并赔偿</w:t>
      </w:r>
      <w:r>
        <w:rPr>
          <w:rFonts w:hint="eastAsia" w:ascii="仿宋_GB2312" w:hAnsi="仿宋_GB2312" w:cs="仿宋_GB2312"/>
          <w:color w:val="auto"/>
          <w:kern w:val="0"/>
          <w:sz w:val="32"/>
          <w:szCs w:val="32"/>
          <w:highlight w:val="none"/>
          <w:lang w:val="en-US" w:eastAsia="zh-CN" w:bidi="ar-SA"/>
        </w:rPr>
        <w:t>甲</w:t>
      </w:r>
      <w:r>
        <w:rPr>
          <w:rFonts w:hint="eastAsia" w:ascii="仿宋_GB2312" w:hAnsi="仿宋_GB2312" w:eastAsia="仿宋_GB2312" w:cs="仿宋_GB2312"/>
          <w:color w:val="auto"/>
          <w:kern w:val="0"/>
          <w:sz w:val="32"/>
          <w:szCs w:val="32"/>
          <w:highlight w:val="none"/>
          <w:lang w:val="en-US" w:eastAsia="zh-CN" w:bidi="ar-SA"/>
        </w:rPr>
        <w:t>方的损失（包括但不限于因质量问题所产生的运费、装卸费用损失以及</w:t>
      </w:r>
      <w:r>
        <w:rPr>
          <w:rFonts w:hint="eastAsia" w:ascii="仿宋_GB2312" w:hAnsi="仿宋_GB2312" w:cs="仿宋_GB2312"/>
          <w:color w:val="auto"/>
          <w:kern w:val="0"/>
          <w:sz w:val="32"/>
          <w:szCs w:val="32"/>
          <w:highlight w:val="none"/>
          <w:lang w:val="en-US" w:eastAsia="zh-CN" w:bidi="ar-SA"/>
        </w:rPr>
        <w:t>甲</w:t>
      </w:r>
      <w:r>
        <w:rPr>
          <w:rFonts w:hint="eastAsia" w:ascii="仿宋_GB2312" w:hAnsi="仿宋_GB2312" w:eastAsia="仿宋_GB2312" w:cs="仿宋_GB2312"/>
          <w:color w:val="auto"/>
          <w:kern w:val="0"/>
          <w:sz w:val="32"/>
          <w:szCs w:val="32"/>
          <w:highlight w:val="none"/>
          <w:lang w:val="en-US" w:eastAsia="zh-CN" w:bidi="ar-SA"/>
        </w:rPr>
        <w:t>方对第三方承担的违约责任，及诉讼费、鉴定费、律师费等）。</w:t>
      </w:r>
    </w:p>
    <w:p>
      <w:pPr>
        <w:keepNext w:val="0"/>
        <w:keepLines w:val="0"/>
        <w:kinsoku/>
        <w:wordWrap/>
        <w:overflowPunct/>
        <w:topLinePunct w:val="0"/>
        <w:bidi w:val="0"/>
        <w:spacing w:line="560" w:lineRule="exact"/>
        <w:ind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第四条  计量标准</w:t>
      </w:r>
    </w:p>
    <w:p>
      <w:pPr>
        <w:keepNext w:val="0"/>
        <w:keepLines w:val="0"/>
        <w:kinsoku/>
        <w:wordWrap/>
        <w:overflowPunct/>
        <w:topLinePunct w:val="0"/>
        <w:bidi w:val="0"/>
        <w:spacing w:line="560" w:lineRule="exact"/>
        <w:ind w:firstLine="640"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1.计量</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（1）计量方式：地磅计量。</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（2）计量规范</w:t>
      </w:r>
      <w:r>
        <w:rPr>
          <w:rFonts w:hint="eastAsia" w:ascii="仿宋_GB2312" w:hAnsi="仿宋_GB2312" w:eastAsia="仿宋_GB2312" w:cs="仿宋_GB2312"/>
          <w:color w:val="auto"/>
          <w:sz w:val="32"/>
          <w:szCs w:val="32"/>
          <w:highlight w:val="none"/>
        </w:rPr>
        <w:t>以</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方过磅数量为准（地磅须经法定计量检测机构认可），合理损耗按</w:t>
      </w:r>
      <w:r>
        <w:rPr>
          <w:rFonts w:hint="eastAsia" w:ascii="仿宋_GB2312" w:hAnsi="仿宋_GB2312" w:eastAsia="仿宋_GB2312" w:cs="仿宋_GB2312"/>
          <w:color w:val="auto"/>
          <w:sz w:val="32"/>
          <w:szCs w:val="32"/>
          <w:highlight w:val="none"/>
          <w:u w:val="single"/>
        </w:rPr>
        <w:t xml:space="preserve">±3‰ </w:t>
      </w:r>
      <w:r>
        <w:rPr>
          <w:rFonts w:hint="eastAsia" w:ascii="仿宋_GB2312" w:hAnsi="仿宋_GB2312" w:eastAsia="仿宋_GB2312" w:cs="仿宋_GB2312"/>
          <w:color w:val="auto"/>
          <w:sz w:val="32"/>
          <w:szCs w:val="32"/>
          <w:highlight w:val="none"/>
        </w:rPr>
        <w:t>的标准执行。</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方可抽检复磅（地磅须经法定计量检测机构认可），若</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方抽检结果与</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方提供的过磅数量磅差值在</w:t>
      </w:r>
      <w:r>
        <w:rPr>
          <w:rFonts w:hint="eastAsia" w:ascii="仿宋_GB2312" w:hAnsi="仿宋_GB2312" w:eastAsia="仿宋_GB2312" w:cs="仿宋_GB2312"/>
          <w:color w:val="auto"/>
          <w:sz w:val="32"/>
          <w:szCs w:val="32"/>
          <w:highlight w:val="none"/>
          <w:u w:val="single"/>
        </w:rPr>
        <w:t xml:space="preserve">±3‰ </w:t>
      </w:r>
      <w:r>
        <w:rPr>
          <w:rFonts w:hint="eastAsia" w:ascii="仿宋_GB2312" w:hAnsi="仿宋_GB2312" w:eastAsia="仿宋_GB2312" w:cs="仿宋_GB2312"/>
          <w:color w:val="auto"/>
          <w:sz w:val="32"/>
          <w:szCs w:val="32"/>
          <w:highlight w:val="none"/>
        </w:rPr>
        <w:t>以内，甲、乙双方同意属于正常，该批货物结算数量以</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方过磅单数量为准，复磅费用由</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方承担；若甲、乙双方磅负差超过</w:t>
      </w:r>
      <w:r>
        <w:rPr>
          <w:rFonts w:hint="eastAsia" w:ascii="仿宋_GB2312" w:hAnsi="仿宋_GB2312" w:eastAsia="仿宋_GB2312" w:cs="仿宋_GB2312"/>
          <w:color w:val="auto"/>
          <w:sz w:val="32"/>
          <w:szCs w:val="32"/>
          <w:highlight w:val="none"/>
          <w:u w:val="single"/>
        </w:rPr>
        <w:t xml:space="preserve">3‰ </w:t>
      </w:r>
      <w:r>
        <w:rPr>
          <w:rFonts w:hint="eastAsia" w:ascii="仿宋_GB2312" w:hAnsi="仿宋_GB2312" w:eastAsia="仿宋_GB2312" w:cs="仿宋_GB2312"/>
          <w:color w:val="auto"/>
          <w:sz w:val="32"/>
          <w:szCs w:val="32"/>
          <w:highlight w:val="none"/>
        </w:rPr>
        <w:t>，则可经双方认可的第三方地磅进行复核（第三方地磅须经法定计量检测机构认可），该批货物结算数量以与第三方复磅误差量小的一方过磅数量为准，复磅费用由误差量大的一方承担。</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方抽检复磅须在签收产品时书面提出并当场检验。</w:t>
      </w:r>
    </w:p>
    <w:p>
      <w:pPr>
        <w:keepNext w:val="0"/>
        <w:keepLines w:val="0"/>
        <w:kinsoku/>
        <w:wordWrap/>
        <w:overflowPunct/>
        <w:topLinePunct w:val="0"/>
        <w:bidi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异议处理：甲</w:t>
      </w:r>
      <w:r>
        <w:rPr>
          <w:rFonts w:hint="eastAsia" w:ascii="仿宋_GB2312" w:hAnsi="仿宋_GB2312" w:eastAsia="仿宋_GB2312" w:cs="仿宋_GB2312"/>
          <w:color w:val="auto"/>
          <w:sz w:val="32"/>
          <w:szCs w:val="32"/>
          <w:highlight w:val="none"/>
        </w:rPr>
        <w:t>方对计量结果有异议的，应于提货后24小时内书面通知</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方应在收到通知后48小时内与</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方共同复核；复核仍无法达成一致的，</w:t>
      </w:r>
      <w:r>
        <w:rPr>
          <w:rFonts w:hint="eastAsia" w:ascii="仿宋_GB2312" w:hAnsi="仿宋_GB2312" w:eastAsia="仿宋_GB2312" w:cs="仿宋_GB2312"/>
          <w:color w:val="auto"/>
          <w:sz w:val="32"/>
          <w:szCs w:val="32"/>
          <w:highlight w:val="none"/>
          <w:lang w:val="en-US" w:eastAsia="zh-CN"/>
        </w:rPr>
        <w:t>双</w:t>
      </w:r>
      <w:r>
        <w:rPr>
          <w:rFonts w:hint="eastAsia" w:ascii="仿宋_GB2312" w:hAnsi="仿宋_GB2312" w:eastAsia="仿宋_GB2312" w:cs="仿宋_GB2312"/>
          <w:color w:val="auto"/>
          <w:sz w:val="32"/>
          <w:szCs w:val="32"/>
          <w:highlight w:val="none"/>
        </w:rPr>
        <w:t>方有权</w:t>
      </w:r>
      <w:r>
        <w:rPr>
          <w:rFonts w:hint="eastAsia" w:ascii="仿宋_GB2312" w:hAnsi="仿宋_GB2312" w:eastAsia="仿宋_GB2312" w:cs="仿宋_GB2312"/>
          <w:color w:val="auto"/>
          <w:sz w:val="32"/>
          <w:szCs w:val="32"/>
          <w:highlight w:val="none"/>
          <w:lang w:val="en-US" w:eastAsia="zh-CN"/>
        </w:rPr>
        <w:t>共同</w:t>
      </w:r>
      <w:r>
        <w:rPr>
          <w:rFonts w:hint="eastAsia" w:ascii="仿宋_GB2312" w:hAnsi="仿宋_GB2312" w:eastAsia="仿宋_GB2312" w:cs="仿宋_GB2312"/>
          <w:color w:val="auto"/>
          <w:sz w:val="32"/>
          <w:szCs w:val="32"/>
          <w:highlight w:val="none"/>
        </w:rPr>
        <w:t>委托双方</w:t>
      </w:r>
      <w:r>
        <w:rPr>
          <w:rFonts w:hint="eastAsia" w:ascii="仿宋_GB2312" w:hAnsi="仿宋_GB2312" w:eastAsia="仿宋_GB2312" w:cs="仿宋_GB2312"/>
          <w:color w:val="auto"/>
          <w:sz w:val="32"/>
          <w:szCs w:val="32"/>
          <w:highlight w:val="none"/>
          <w:lang w:val="en-US" w:eastAsia="zh-CN"/>
        </w:rPr>
        <w:t>书面</w:t>
      </w:r>
      <w:r>
        <w:rPr>
          <w:rFonts w:hint="eastAsia" w:ascii="仿宋_GB2312" w:hAnsi="仿宋_GB2312" w:eastAsia="仿宋_GB2312" w:cs="仿宋_GB2312"/>
          <w:color w:val="auto"/>
          <w:sz w:val="32"/>
          <w:szCs w:val="32"/>
          <w:highlight w:val="none"/>
        </w:rPr>
        <w:t>认可的</w:t>
      </w:r>
      <w:r>
        <w:rPr>
          <w:rFonts w:hint="eastAsia" w:ascii="仿宋_GB2312" w:hAnsi="仿宋_GB2312" w:eastAsia="仿宋_GB2312" w:cs="仿宋_GB2312"/>
          <w:color w:val="auto"/>
          <w:sz w:val="32"/>
          <w:szCs w:val="32"/>
          <w:highlight w:val="none"/>
          <w:lang w:val="en-US" w:eastAsia="zh-CN"/>
        </w:rPr>
        <w:t>具备国家认可资质的</w:t>
      </w:r>
      <w:r>
        <w:rPr>
          <w:rFonts w:hint="eastAsia" w:ascii="仿宋_GB2312" w:hAnsi="仿宋_GB2312" w:eastAsia="仿宋_GB2312" w:cs="仿宋_GB2312"/>
          <w:color w:val="auto"/>
          <w:sz w:val="32"/>
          <w:szCs w:val="32"/>
          <w:highlight w:val="none"/>
        </w:rPr>
        <w:t>第三方计量机构进行复检，复检结果为最终结算依据，因复检发生的相关费用由责任方承担。若一方未在上述期限内配合完成选定工作，另一方可书面通知该方在48小时内配合办理选定事宜。逾期仍未配合的，提出异议的一方可单方面委托符合资质的第三方计量机构实施复检，复检过程应允许另一方全程参与监督</w:t>
      </w:r>
      <w:r>
        <w:rPr>
          <w:rFonts w:hint="eastAsia" w:ascii="仿宋_GB2312" w:hAnsi="仿宋_GB2312" w:eastAsia="仿宋_GB2312" w:cs="仿宋_GB2312"/>
          <w:color w:val="auto"/>
          <w:sz w:val="32"/>
          <w:szCs w:val="32"/>
          <w:highlight w:val="none"/>
          <w:lang w:val="en-US" w:eastAsia="zh-CN"/>
        </w:rPr>
        <w:t>。</w:t>
      </w:r>
    </w:p>
    <w:p>
      <w:pPr>
        <w:pStyle w:val="2"/>
        <w:keepNext w:val="0"/>
        <w:keepLines w:val="0"/>
        <w:kinsoku/>
        <w:wordWrap/>
        <w:overflowPunct/>
        <w:topLinePunct w:val="0"/>
        <w:bidi w:val="0"/>
        <w:spacing w:line="560" w:lineRule="exact"/>
        <w:ind w:firstLine="480" w:firstLineChars="200"/>
        <w:jc w:val="left"/>
        <w:textAlignment w:val="auto"/>
        <w:rPr>
          <w:rFonts w:hint="default" w:eastAsia="仿宋_GB2312"/>
          <w:lang w:val="en-US" w:eastAsia="zh-CN"/>
        </w:rPr>
      </w:pP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第五条  验收标准</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产品的质量验收以</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方生产厂同批次产品的检验报告为依据。</w:t>
      </w: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第六条  付款及结算方式</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1、本合同约定首期预付货款为</w:t>
      </w:r>
      <w:r>
        <w:rPr>
          <w:rFonts w:hint="eastAsia" w:ascii="仿宋_GB2312" w:hAnsi="仿宋_GB2312" w:eastAsia="仿宋_GB2312" w:cs="仿宋_GB2312"/>
          <w:color w:val="auto"/>
          <w:sz w:val="32"/>
          <w:szCs w:val="32"/>
          <w:highlight w:val="none"/>
          <w:lang w:val="en-US" w:eastAsia="zh-CN"/>
        </w:rPr>
        <w:t>成交价的</w:t>
      </w:r>
      <w:r>
        <w:rPr>
          <w:rFonts w:hint="eastAsia" w:ascii="仿宋_GB2312" w:hAnsi="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lang w:val="en-US" w:eastAsia="zh-CN"/>
        </w:rPr>
        <w:t>40%</w:t>
      </w:r>
      <w:r>
        <w:rPr>
          <w:rFonts w:hint="eastAsia" w:ascii="仿宋_GB2312" w:hAnsi="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。成交价以乙方通过竞拍程序最终确认的最高报价为准。买</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在竞买时需缴纳起拍价</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cs="仿宋_GB2312"/>
          <w:color w:val="auto"/>
          <w:sz w:val="32"/>
          <w:szCs w:val="32"/>
          <w:highlight w:val="none"/>
          <w:u w:val="single"/>
          <w:lang w:val="en-US" w:eastAsia="zh-CN"/>
        </w:rPr>
        <w:t>70，50,000.00</w:t>
      </w:r>
      <w:r>
        <w:rPr>
          <w:rFonts w:hint="eastAsia" w:ascii="仿宋_GB2312" w:hAnsi="仿宋_GB2312" w:eastAsia="仿宋_GB2312" w:cs="仿宋_GB2312"/>
          <w:color w:val="auto"/>
          <w:sz w:val="32"/>
          <w:szCs w:val="32"/>
          <w:highlight w:val="none"/>
          <w:lang w:val="en-US" w:eastAsia="zh-CN"/>
        </w:rPr>
        <w:t>元（大写：</w:t>
      </w:r>
      <w:r>
        <w:rPr>
          <w:rFonts w:hint="eastAsia" w:ascii="仿宋_GB2312" w:hAnsi="仿宋_GB2312" w:cs="仿宋_GB2312"/>
          <w:color w:val="auto"/>
          <w:sz w:val="32"/>
          <w:szCs w:val="32"/>
          <w:highlight w:val="none"/>
          <w:u w:val="single"/>
          <w:lang w:val="en-US" w:eastAsia="zh-CN"/>
        </w:rPr>
        <w:t xml:space="preserve">柒仟零伍拾万元整 </w:t>
      </w:r>
      <w:r>
        <w:rPr>
          <w:rFonts w:hint="eastAsia" w:ascii="仿宋_GB2312" w:hAnsi="仿宋_GB2312" w:eastAsia="仿宋_GB2312" w:cs="仿宋_GB2312"/>
          <w:color w:val="auto"/>
          <w:sz w:val="32"/>
          <w:szCs w:val="32"/>
          <w:highlight w:val="none"/>
          <w:lang w:val="en-US" w:eastAsia="zh-CN"/>
        </w:rPr>
        <w:t>）的40%即￥</w:t>
      </w:r>
      <w:r>
        <w:rPr>
          <w:rFonts w:hint="eastAsia" w:ascii="仿宋_GB2312" w:hAnsi="仿宋_GB2312" w:cs="仿宋_GB2312"/>
          <w:color w:val="auto"/>
          <w:sz w:val="32"/>
          <w:szCs w:val="32"/>
          <w:highlight w:val="none"/>
          <w:u w:val="single"/>
          <w:lang w:val="en-US" w:eastAsia="zh-CN"/>
        </w:rPr>
        <w:t>28，200,000.00</w:t>
      </w:r>
      <w:r>
        <w:rPr>
          <w:rFonts w:hint="eastAsia" w:ascii="仿宋_GB2312" w:hAnsi="仿宋_GB2312" w:eastAsia="仿宋_GB2312" w:cs="仿宋_GB2312"/>
          <w:color w:val="auto"/>
          <w:sz w:val="32"/>
          <w:szCs w:val="32"/>
          <w:highlight w:val="none"/>
          <w:lang w:val="en-US" w:eastAsia="zh-CN"/>
        </w:rPr>
        <w:t>元（大写：</w:t>
      </w:r>
      <w:r>
        <w:rPr>
          <w:rFonts w:hint="eastAsia" w:ascii="仿宋_GB2312" w:hAnsi="仿宋_GB2312" w:cs="仿宋_GB2312"/>
          <w:color w:val="auto"/>
          <w:sz w:val="32"/>
          <w:szCs w:val="32"/>
          <w:highlight w:val="none"/>
          <w:u w:val="single"/>
          <w:lang w:val="en-US" w:eastAsia="zh-CN"/>
        </w:rPr>
        <w:t>贰仟捌贰拾万元整</w:t>
      </w:r>
      <w:r>
        <w:rPr>
          <w:rFonts w:hint="eastAsia" w:ascii="仿宋_GB2312" w:hAnsi="仿宋_GB2312" w:eastAsia="仿宋_GB2312" w:cs="仿宋_GB2312"/>
          <w:color w:val="auto"/>
          <w:sz w:val="32"/>
          <w:szCs w:val="32"/>
          <w:highlight w:val="none"/>
          <w:lang w:val="en-US" w:eastAsia="zh-CN"/>
        </w:rPr>
        <w:t>）作为保证金。</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本合同签订后保证金自动转为首期预付货款，若成交价高于起拍价，甲方应于本合同签订之日起</w:t>
      </w:r>
      <w:r>
        <w:rPr>
          <w:rFonts w:hint="eastAsia" w:ascii="仿宋_GB2312" w:hAnsi="仿宋_GB2312" w:cs="仿宋_GB2312"/>
          <w:color w:val="auto"/>
          <w:sz w:val="32"/>
          <w:szCs w:val="32"/>
          <w:highlight w:val="none"/>
          <w:u w:val="single"/>
          <w:lang w:val="en-US" w:eastAsia="zh-CN"/>
        </w:rPr>
        <w:t xml:space="preserve"> 七 </w:t>
      </w:r>
      <w:r>
        <w:rPr>
          <w:rFonts w:hint="eastAsia" w:ascii="仿宋_GB2312" w:hAnsi="仿宋_GB2312" w:cs="仿宋_GB2312"/>
          <w:color w:val="auto"/>
          <w:sz w:val="32"/>
          <w:szCs w:val="32"/>
          <w:highlight w:val="none"/>
          <w:u w:val="none"/>
          <w:lang w:val="en-US" w:eastAsia="zh-CN"/>
        </w:rPr>
        <w:t>个</w:t>
      </w:r>
      <w:r>
        <w:rPr>
          <w:rFonts w:hint="eastAsia" w:ascii="仿宋_GB2312" w:hAnsi="仿宋_GB2312" w:eastAsia="仿宋_GB2312" w:cs="仿宋_GB2312"/>
          <w:color w:val="auto"/>
          <w:sz w:val="32"/>
          <w:szCs w:val="32"/>
          <w:highlight w:val="none"/>
          <w:lang w:val="en-US" w:eastAsia="zh-CN"/>
        </w:rPr>
        <w:t>工作日内向乙方补足剩余首期预付款</w:t>
      </w:r>
      <w:r>
        <w:rPr>
          <w:rFonts w:hint="eastAsia" w:ascii="仿宋_GB2312" w:hAnsi="仿宋_GB2312" w:cs="仿宋_GB2312"/>
          <w:color w:val="auto"/>
          <w:sz w:val="32"/>
          <w:szCs w:val="32"/>
          <w:highlight w:val="none"/>
          <w:lang w:val="en-US" w:eastAsia="zh-CN"/>
        </w:rPr>
        <w:t>。本合同采用</w:t>
      </w:r>
      <w:r>
        <w:rPr>
          <w:rFonts w:hint="eastAsia" w:ascii="仿宋_GB2312" w:hAnsi="仿宋_GB2312" w:cs="仿宋_GB2312"/>
          <w:color w:val="auto"/>
          <w:sz w:val="32"/>
          <w:szCs w:val="32"/>
          <w:highlight w:val="none"/>
          <w:u w:val="single"/>
          <w:lang w:val="en-US" w:eastAsia="zh-CN"/>
        </w:rPr>
        <w:t>预付款循环模式</w:t>
      </w:r>
      <w:r>
        <w:rPr>
          <w:rFonts w:hint="eastAsia" w:ascii="仿宋_GB2312" w:hAnsi="仿宋_GB2312" w:cs="仿宋_GB2312"/>
          <w:color w:val="auto"/>
          <w:sz w:val="32"/>
          <w:szCs w:val="32"/>
          <w:highlight w:val="none"/>
          <w:lang w:val="en-US" w:eastAsia="zh-CN"/>
        </w:rPr>
        <w:t>进行结算与支付。双方确认，甲方预付款账户余额设有预警线和安全线。</w:t>
      </w:r>
    </w:p>
    <w:p>
      <w:pPr>
        <w:keepNext w:val="0"/>
        <w:keepLines w:val="0"/>
        <w:pageBreakBefore w:val="0"/>
        <w:numPr>
          <w:ilvl w:val="0"/>
          <w:numId w:val="2"/>
        </w:numPr>
        <w:kinsoku/>
        <w:wordWrap/>
        <w:overflowPunct/>
        <w:topLinePunct w:val="0"/>
        <w:bidi w:val="0"/>
        <w:adjustRightInd w:val="0"/>
        <w:snapToGrid w:val="0"/>
        <w:spacing w:line="560" w:lineRule="exact"/>
        <w:ind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当甲方预付款余额低于人民币</w:t>
      </w:r>
      <w:r>
        <w:rPr>
          <w:rFonts w:hint="eastAsia" w:ascii="仿宋_GB2312" w:hAnsi="仿宋_GB2312" w:cs="仿宋_GB2312"/>
          <w:color w:val="auto"/>
          <w:sz w:val="32"/>
          <w:szCs w:val="32"/>
          <w:highlight w:val="none"/>
          <w:u w:val="single"/>
          <w:lang w:val="en-US" w:eastAsia="zh-CN"/>
        </w:rPr>
        <w:t>1,000,000.00（大写：壹佰万元整）</w:t>
      </w:r>
      <w:r>
        <w:rPr>
          <w:rFonts w:hint="eastAsia" w:ascii="仿宋_GB2312" w:hAnsi="仿宋_GB2312" w:cs="仿宋_GB2312"/>
          <w:color w:val="auto"/>
          <w:sz w:val="32"/>
          <w:szCs w:val="32"/>
          <w:highlight w:val="none"/>
          <w:u w:val="none"/>
          <w:lang w:val="en-US" w:eastAsia="zh-CN"/>
        </w:rPr>
        <w:t>触发预警线，乙方应书面通知甲方补款。当甲方预付余额低于人民币</w:t>
      </w:r>
      <w:r>
        <w:rPr>
          <w:rFonts w:hint="eastAsia" w:ascii="仿宋_GB2312" w:hAnsi="仿宋_GB2312" w:cs="仿宋_GB2312"/>
          <w:color w:val="auto"/>
          <w:sz w:val="32"/>
          <w:szCs w:val="32"/>
          <w:highlight w:val="none"/>
          <w:u w:val="single"/>
          <w:lang w:val="en-US" w:eastAsia="zh-CN"/>
        </w:rPr>
        <w:t>500，000.00（大写：伍拾万元整</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lang w:val="en-US" w:eastAsia="zh-CN"/>
        </w:rPr>
        <w:t>乙方有权</w:t>
      </w:r>
      <w:r>
        <w:rPr>
          <w:rFonts w:hint="eastAsia" w:ascii="仿宋_GB2312" w:hAnsi="仿宋_GB2312" w:cs="仿宋_GB2312"/>
          <w:color w:val="auto"/>
          <w:sz w:val="32"/>
          <w:szCs w:val="32"/>
          <w:highlight w:val="none"/>
          <w:lang w:val="en-US" w:eastAsia="zh-CN"/>
        </w:rPr>
        <w:t>立即</w:t>
      </w:r>
      <w:r>
        <w:rPr>
          <w:rFonts w:hint="eastAsia" w:ascii="仿宋_GB2312" w:hAnsi="仿宋_GB2312" w:eastAsia="仿宋_GB2312" w:cs="仿宋_GB2312"/>
          <w:color w:val="auto"/>
          <w:sz w:val="32"/>
          <w:szCs w:val="32"/>
          <w:highlight w:val="none"/>
          <w:lang w:val="en-US" w:eastAsia="zh-CN"/>
        </w:rPr>
        <w:t>停止供货</w:t>
      </w:r>
      <w:r>
        <w:rPr>
          <w:rFonts w:hint="eastAsia" w:ascii="仿宋_GB2312" w:hAnsi="仿宋_GB2312" w:cs="仿宋_GB2312"/>
          <w:color w:val="auto"/>
          <w:sz w:val="32"/>
          <w:szCs w:val="32"/>
          <w:highlight w:val="none"/>
          <w:lang w:val="en-US" w:eastAsia="zh-CN"/>
        </w:rPr>
        <w:t>，直至甲方将预付款补足至双方约定的安全线以上金额。停止发货期间造成的一切损失由甲方自行承担。</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合同期间，双方采用</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B</w:t>
      </w:r>
      <w:r>
        <w:rPr>
          <w:rFonts w:hint="eastAsia" w:ascii="仿宋_GB2312" w:hAnsi="仿宋_GB2312" w:eastAsia="仿宋_GB2312" w:cs="仿宋_GB2312"/>
          <w:color w:val="auto"/>
          <w:sz w:val="32"/>
          <w:szCs w:val="32"/>
          <w:highlight w:val="none"/>
          <w:u w:val="single"/>
        </w:rPr>
        <w:t xml:space="preserve"> 种方式</w:t>
      </w:r>
      <w:r>
        <w:rPr>
          <w:rFonts w:hint="eastAsia" w:ascii="仿宋_GB2312" w:hAnsi="仿宋_GB2312" w:eastAsia="仿宋_GB2312" w:cs="仿宋_GB2312"/>
          <w:color w:val="auto"/>
          <w:sz w:val="32"/>
          <w:szCs w:val="32"/>
          <w:highlight w:val="none"/>
        </w:rPr>
        <w:t>进行结算。</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A、以自然月为结算周期，每月</w:t>
      </w:r>
      <w:r>
        <w:rPr>
          <w:rFonts w:hint="eastAsia" w:ascii="仿宋_GB2312" w:hAnsi="仿宋_GB2312" w:eastAsia="仿宋_GB2312" w:cs="仿宋_GB2312"/>
          <w:color w:val="auto"/>
          <w:sz w:val="32"/>
          <w:szCs w:val="32"/>
          <w:highlight w:val="none"/>
          <w:u w:val="single"/>
        </w:rPr>
        <w:t xml:space="preserve"> 最后一日</w:t>
      </w:r>
      <w:r>
        <w:rPr>
          <w:rFonts w:hint="eastAsia" w:ascii="仿宋_GB2312" w:hAnsi="仿宋_GB2312" w:eastAsia="仿宋_GB2312" w:cs="仿宋_GB2312"/>
          <w:color w:val="auto"/>
          <w:sz w:val="32"/>
          <w:szCs w:val="32"/>
          <w:highlight w:val="none"/>
        </w:rPr>
        <w:t>为结算截止日，每月</w:t>
      </w:r>
      <w:r>
        <w:rPr>
          <w:rFonts w:hint="eastAsia" w:ascii="仿宋_GB2312" w:hAnsi="仿宋_GB2312" w:eastAsia="仿宋_GB2312" w:cs="仿宋_GB2312"/>
          <w:color w:val="auto"/>
          <w:sz w:val="32"/>
          <w:szCs w:val="32"/>
          <w:highlight w:val="none"/>
          <w:u w:val="single"/>
        </w:rPr>
        <w:t xml:space="preserve"> 5 </w:t>
      </w:r>
      <w:r>
        <w:rPr>
          <w:rFonts w:hint="eastAsia" w:ascii="仿宋_GB2312" w:hAnsi="仿宋_GB2312" w:eastAsia="仿宋_GB2312" w:cs="仿宋_GB2312"/>
          <w:color w:val="auto"/>
          <w:sz w:val="32"/>
          <w:szCs w:val="32"/>
          <w:highlight w:val="none"/>
        </w:rPr>
        <w:t>日前双方核对甲方系统出具的对账单完成上月实际交易的数量及金额的结算。</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B、每月</w:t>
      </w:r>
      <w:r>
        <w:rPr>
          <w:rFonts w:hint="eastAsia" w:ascii="仿宋_GB2312" w:hAnsi="仿宋_GB2312" w:eastAsia="仿宋_GB2312" w:cs="仿宋_GB2312"/>
          <w:color w:val="auto"/>
          <w:sz w:val="32"/>
          <w:szCs w:val="32"/>
          <w:highlight w:val="none"/>
          <w:u w:val="single"/>
          <w:lang w:val="en-US" w:eastAsia="zh-CN"/>
        </w:rPr>
        <w:t>最后一</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rPr>
        <w:t>为结算截止日，即</w:t>
      </w: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月</w:t>
      </w:r>
      <w:r>
        <w:rPr>
          <w:rFonts w:hint="eastAsia" w:ascii="仿宋_GB2312" w:hAnsi="仿宋_GB2312" w:cs="仿宋_GB2312"/>
          <w:color w:val="auto"/>
          <w:sz w:val="32"/>
          <w:szCs w:val="32"/>
          <w:highlight w:val="none"/>
          <w:u w:val="single"/>
          <w:lang w:val="en-US" w:eastAsia="zh-CN"/>
        </w:rPr>
        <w:t xml:space="preserve"> 一 </w:t>
      </w:r>
      <w:r>
        <w:rPr>
          <w:rFonts w:hint="eastAsia" w:ascii="仿宋_GB2312" w:hAnsi="仿宋_GB2312" w:eastAsia="仿宋_GB2312" w:cs="仿宋_GB2312"/>
          <w:color w:val="auto"/>
          <w:sz w:val="32"/>
          <w:szCs w:val="32"/>
          <w:highlight w:val="none"/>
        </w:rPr>
        <w:t>日至本月</w:t>
      </w:r>
      <w:r>
        <w:rPr>
          <w:rFonts w:hint="eastAsia" w:ascii="仿宋_GB2312" w:hAnsi="仿宋_GB2312" w:eastAsia="仿宋_GB2312" w:cs="仿宋_GB2312"/>
          <w:color w:val="auto"/>
          <w:sz w:val="32"/>
          <w:szCs w:val="32"/>
          <w:highlight w:val="none"/>
          <w:u w:val="single"/>
          <w:lang w:val="en-US" w:eastAsia="zh-CN"/>
        </w:rPr>
        <w:t>最后一</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rPr>
        <w:t>为一个结算周期，</w:t>
      </w:r>
      <w:r>
        <w:rPr>
          <w:rFonts w:hint="eastAsia" w:ascii="仿宋_GB2312" w:hAnsi="仿宋_GB2312" w:eastAsia="仿宋_GB2312" w:cs="仿宋_GB2312"/>
          <w:color w:val="auto"/>
          <w:sz w:val="32"/>
          <w:szCs w:val="32"/>
          <w:highlight w:val="none"/>
          <w:lang w:val="en-US" w:eastAsia="zh-CN"/>
        </w:rPr>
        <w:t>次</w:t>
      </w:r>
      <w:r>
        <w:rPr>
          <w:rFonts w:hint="eastAsia" w:ascii="仿宋_GB2312" w:hAnsi="仿宋_GB2312" w:eastAsia="仿宋_GB2312" w:cs="仿宋_GB2312"/>
          <w:color w:val="auto"/>
          <w:sz w:val="32"/>
          <w:szCs w:val="32"/>
          <w:highlight w:val="none"/>
        </w:rPr>
        <w:t>月</w:t>
      </w:r>
      <w:r>
        <w:rPr>
          <w:rFonts w:hint="eastAsia" w:ascii="仿宋_GB2312" w:hAnsi="仿宋_GB2312" w:cs="仿宋_GB2312"/>
          <w:color w:val="auto"/>
          <w:sz w:val="32"/>
          <w:szCs w:val="32"/>
          <w:highlight w:val="none"/>
          <w:u w:val="single"/>
          <w:lang w:val="en-US" w:eastAsia="zh-CN"/>
        </w:rPr>
        <w:t xml:space="preserve"> 一 </w:t>
      </w:r>
      <w:r>
        <w:rPr>
          <w:rFonts w:hint="eastAsia" w:ascii="仿宋_GB2312" w:hAnsi="仿宋_GB2312" w:eastAsia="仿宋_GB2312" w:cs="仿宋_GB2312"/>
          <w:color w:val="auto"/>
          <w:sz w:val="32"/>
          <w:szCs w:val="32"/>
          <w:highlight w:val="none"/>
        </w:rPr>
        <w:t>日前双方核对</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方系统出具的对账单完成上一结算周期内实际交易的数量及金额的结算。</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合同履行完毕后，若</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方预付款仍有剩余</w:t>
      </w:r>
      <w:r>
        <w:rPr>
          <w:rFonts w:hint="eastAsia" w:ascii="仿宋_GB2312" w:hAnsi="仿宋_GB2312" w:eastAsia="仿宋_GB2312" w:cs="仿宋_GB2312"/>
          <w:color w:val="auto"/>
          <w:sz w:val="32"/>
          <w:szCs w:val="32"/>
          <w:highlight w:val="none"/>
          <w:lang w:val="en-US" w:eastAsia="zh-CN"/>
        </w:rPr>
        <w:t>且不再继续续约</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方于最终结算完毕后30日内无息退还。</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使</w:t>
      </w:r>
      <w:r>
        <w:rPr>
          <w:rFonts w:hint="eastAsia" w:ascii="仿宋_GB2312" w:hAnsi="仿宋_GB2312" w:eastAsia="仿宋_GB2312" w:cs="仿宋_GB2312"/>
          <w:color w:val="auto"/>
          <w:sz w:val="32"/>
          <w:szCs w:val="32"/>
          <w:highlight w:val="none"/>
        </w:rPr>
        <w:t>用</w:t>
      </w:r>
      <w:r>
        <w:rPr>
          <w:rFonts w:hint="eastAsia" w:ascii="仿宋_GB2312" w:hAnsi="仿宋_GB2312" w:eastAsia="仿宋_GB2312" w:cs="仿宋_GB2312"/>
          <w:color w:val="auto"/>
          <w:sz w:val="32"/>
          <w:szCs w:val="32"/>
          <w:highlight w:val="none"/>
          <w:lang w:val="en-US" w:eastAsia="zh-CN"/>
        </w:rPr>
        <w:t>银行</w:t>
      </w:r>
      <w:r>
        <w:rPr>
          <w:rFonts w:hint="eastAsia" w:ascii="仿宋_GB2312" w:hAnsi="仿宋_GB2312" w:eastAsia="仿宋_GB2312" w:cs="仿宋_GB2312"/>
          <w:color w:val="auto"/>
          <w:sz w:val="32"/>
          <w:szCs w:val="32"/>
          <w:highlight w:val="none"/>
        </w:rPr>
        <w:t>转账方式预付货款：</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方委托第三方付款或接受第三方代其付款，则须向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方提供由付款委托、受托双方共同签字盖章确认的书面委托证明。</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、关于发票</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方按结算价向</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方提供骨料货物</w:t>
      </w:r>
      <w:r>
        <w:rPr>
          <w:rFonts w:hint="eastAsia" w:ascii="仿宋_GB2312" w:hAnsi="仿宋_GB2312" w:cs="仿宋_GB2312"/>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3%</w:t>
      </w:r>
      <w:r>
        <w:rPr>
          <w:rFonts w:hint="eastAsia" w:ascii="仿宋_GB2312" w:hAnsi="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增值税专用/普通（二选一）发票，</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方开具发票的要求应在提货之日起的三个月内提出，避免延迟。在合同履行过程中，如国家增值税税率政策发生变化的，则按照新的政策执行。</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方要求开具骨料产品增值税专用发票，则须向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方提供加盖单位公章含有以下信息的开票资料：</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方名称、纳税人识别号或统一社会信用代码、地址、电话、开户行及账号信息。</w:t>
      </w:r>
      <w:r>
        <w:rPr>
          <w:rFonts w:hint="eastAsia" w:ascii="仿宋_GB2312" w:hAnsi="仿宋_GB2312" w:eastAsia="仿宋_GB2312" w:cs="仿宋_GB2312"/>
          <w:b/>
          <w:color w:val="auto"/>
          <w:sz w:val="32"/>
          <w:szCs w:val="32"/>
          <w:highlight w:val="none"/>
        </w:rPr>
        <w:t>（开具专票</w:t>
      </w:r>
      <w:r>
        <w:rPr>
          <w:rFonts w:hint="eastAsia" w:ascii="仿宋_GB2312" w:hAnsi="仿宋_GB2312" w:eastAsia="仿宋_GB2312" w:cs="仿宋_GB2312"/>
          <w:b/>
          <w:bCs/>
          <w:color w:val="auto"/>
          <w:sz w:val="32"/>
          <w:szCs w:val="32"/>
          <w:highlight w:val="none"/>
        </w:rPr>
        <w:t>时</w:t>
      </w:r>
      <w:r>
        <w:rPr>
          <w:rFonts w:hint="eastAsia" w:ascii="仿宋_GB2312" w:hAnsi="仿宋_GB2312" w:eastAsia="仿宋_GB2312" w:cs="仿宋_GB2312"/>
          <w:b/>
          <w:color w:val="auto"/>
          <w:sz w:val="32"/>
          <w:szCs w:val="32"/>
          <w:highlight w:val="none"/>
        </w:rPr>
        <w:t>选用）</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若</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方（非企业除外）要求开具骨料产品增值税普通发票的，则须向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方提供加盖单位公章含有以下信息的开票资料：</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方名称、纳税人识别号或统一社会信用代码。</w:t>
      </w:r>
      <w:r>
        <w:rPr>
          <w:rFonts w:hint="eastAsia" w:ascii="仿宋_GB2312" w:hAnsi="仿宋_GB2312" w:eastAsia="仿宋_GB2312" w:cs="仿宋_GB2312"/>
          <w:b/>
          <w:color w:val="auto"/>
          <w:sz w:val="32"/>
          <w:szCs w:val="32"/>
          <w:highlight w:val="none"/>
        </w:rPr>
        <w:t>（开具普票</w:t>
      </w:r>
      <w:r>
        <w:rPr>
          <w:rFonts w:hint="eastAsia" w:ascii="仿宋_GB2312" w:hAnsi="仿宋_GB2312" w:eastAsia="仿宋_GB2312" w:cs="仿宋_GB2312"/>
          <w:b/>
          <w:bCs/>
          <w:color w:val="auto"/>
          <w:sz w:val="32"/>
          <w:szCs w:val="32"/>
          <w:highlight w:val="none"/>
        </w:rPr>
        <w:t>时</w:t>
      </w:r>
      <w:r>
        <w:rPr>
          <w:rFonts w:hint="eastAsia" w:ascii="仿宋_GB2312" w:hAnsi="仿宋_GB2312" w:eastAsia="仿宋_GB2312" w:cs="仿宋_GB2312"/>
          <w:b/>
          <w:color w:val="auto"/>
          <w:sz w:val="32"/>
          <w:szCs w:val="32"/>
          <w:highlight w:val="none"/>
        </w:rPr>
        <w:t>选用）</w:t>
      </w: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hint="default"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七、</w:t>
      </w:r>
      <w:r>
        <w:rPr>
          <w:rFonts w:hint="eastAsia" w:ascii="仿宋_GB2312" w:hAnsi="仿宋_GB2312" w:cs="仿宋_GB2312"/>
          <w:b/>
          <w:color w:val="auto"/>
          <w:sz w:val="32"/>
          <w:szCs w:val="32"/>
          <w:highlight w:val="none"/>
          <w:lang w:val="en-US" w:eastAsia="zh-CN"/>
        </w:rPr>
        <w:t>甲方的权利与义务</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方应当遵守</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方矿区安全管理规定，采取合理的措施保障自身的安全生产，并承担因</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方的原因导致发生的安全生产事故责任。若因</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方违约行为导致发生安全事故、环境污染事件或给</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方及第三方造成任何损失（包括但不限于人身伤亡、财产损失、行政处罚等），</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方应承担全部赔偿责任，并承担由此引发的法律后果。</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方有权在</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方支付的货款或定金中扣除相应的赔偿金额及违约金，不足部分</w:t>
      </w:r>
      <w:r>
        <w:rPr>
          <w:rFonts w:hint="eastAsia" w:ascii="仿宋_GB2312" w:hAnsi="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rPr>
        <w:t>应另行支付</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方自行负责货物运输，并承担货物运输过程中所发生的一切风险责任及费用，包括但不限于承担安全事故责任（含第三方事故责任）、环境污染责任与费用等，涉及道路使用、供水、供电等事宜，</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方需与相关权益人自行协商解决。</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rPr>
      </w:pP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方车辆调度需提前24小时向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方提交书面运输计划，乙方提货安排、车辆调度等必须严格遵守甲方的相关管理规章制度及统一安排。</w:t>
      </w:r>
    </w:p>
    <w:p>
      <w:pPr>
        <w:keepNext w:val="0"/>
        <w:keepLines w:val="0"/>
        <w:pageBreakBefore w:val="0"/>
        <w:numPr>
          <w:ilvl w:val="0"/>
          <w:numId w:val="3"/>
        </w:numPr>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color w:val="auto"/>
          <w:sz w:val="32"/>
          <w:szCs w:val="32"/>
          <w:highlight w:val="none"/>
        </w:rPr>
      </w:pPr>
      <w:r>
        <w:rPr>
          <w:rFonts w:hint="eastAsia" w:ascii="仿宋_GB2312" w:hAnsi="仿宋_GB2312" w:cs="仿宋_GB2312"/>
          <w:b/>
          <w:color w:val="auto"/>
          <w:sz w:val="32"/>
          <w:szCs w:val="32"/>
          <w:highlight w:val="none"/>
          <w:lang w:val="en-US" w:eastAsia="zh-CN"/>
        </w:rPr>
        <w:t>乙方的权利与义务</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方有权按照本合同的约定向</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方收取货款并履行供货义务。</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方应当依法开采并向</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方销售本合同约定的标的物，同时确保对所销售的石料拥有完整处分权。</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方应当按约定时间交付符合质量标准的石料，不得以任何理由单方面提高石料单价（</w:t>
      </w:r>
      <w:r>
        <w:rPr>
          <w:rFonts w:hint="eastAsia" w:ascii="仿宋_GB2312" w:hAnsi="仿宋_GB2312" w:cs="仿宋_GB2312"/>
          <w:color w:val="auto"/>
          <w:sz w:val="32"/>
          <w:szCs w:val="32"/>
          <w:highlight w:val="none"/>
          <w:u w:val="single"/>
          <w:lang w:val="en-US" w:eastAsia="zh-CN"/>
        </w:rPr>
        <w:t>毛石</w:t>
      </w:r>
      <w:r>
        <w:rPr>
          <w:rFonts w:hint="eastAsia" w:ascii="仿宋_GB2312" w:hAnsi="仿宋_GB2312" w:eastAsia="仿宋_GB2312" w:cs="仿宋_GB2312"/>
          <w:color w:val="auto"/>
          <w:sz w:val="32"/>
          <w:szCs w:val="32"/>
          <w:highlight w:val="none"/>
          <w:u w:val="single"/>
          <w:lang w:val="en-US" w:eastAsia="zh-CN"/>
        </w:rPr>
        <w:t>3</w:t>
      </w:r>
      <w:r>
        <w:rPr>
          <w:rFonts w:hint="eastAsia" w:ascii="仿宋_GB2312" w:hAnsi="仿宋_GB2312" w:cs="仿宋_GB2312"/>
          <w:color w:val="auto"/>
          <w:sz w:val="32"/>
          <w:szCs w:val="32"/>
          <w:highlight w:val="none"/>
          <w:u w:val="single"/>
          <w:lang w:val="en-US" w:eastAsia="zh-CN"/>
        </w:rPr>
        <w:t>8</w:t>
      </w:r>
      <w:r>
        <w:rPr>
          <w:rFonts w:hint="eastAsia" w:ascii="仿宋_GB2312" w:hAnsi="仿宋_GB2312" w:eastAsia="仿宋_GB2312" w:cs="仿宋_GB2312"/>
          <w:color w:val="auto"/>
          <w:sz w:val="32"/>
          <w:szCs w:val="32"/>
          <w:highlight w:val="none"/>
          <w:u w:val="single"/>
          <w:lang w:val="en-US" w:eastAsia="zh-CN"/>
        </w:rPr>
        <w:t>元/吨</w:t>
      </w:r>
      <w:r>
        <w:rPr>
          <w:rFonts w:hint="eastAsia" w:ascii="仿宋_GB2312" w:hAnsi="仿宋_GB2312" w:cs="仿宋_GB2312"/>
          <w:color w:val="auto"/>
          <w:sz w:val="32"/>
          <w:szCs w:val="32"/>
          <w:highlight w:val="none"/>
          <w:u w:val="single"/>
          <w:lang w:val="en-US" w:eastAsia="zh-CN"/>
        </w:rPr>
        <w:t>，碎石65元/吨</w:t>
      </w:r>
      <w:r>
        <w:rPr>
          <w:rFonts w:hint="eastAsia" w:ascii="仿宋_GB2312" w:hAnsi="仿宋_GB2312" w:eastAsia="仿宋_GB2312" w:cs="仿宋_GB2312"/>
          <w:color w:val="auto"/>
          <w:sz w:val="32"/>
          <w:szCs w:val="32"/>
          <w:highlight w:val="none"/>
          <w:u w:val="single"/>
          <w:lang w:val="en-US" w:eastAsia="zh-CN"/>
        </w:rPr>
        <w:t>为固定</w:t>
      </w:r>
      <w:r>
        <w:rPr>
          <w:rFonts w:hint="eastAsia" w:ascii="仿宋_GB2312" w:hAnsi="仿宋_GB2312" w:cs="仿宋_GB2312"/>
          <w:color w:val="auto"/>
          <w:sz w:val="32"/>
          <w:szCs w:val="32"/>
          <w:highlight w:val="none"/>
          <w:u w:val="single"/>
          <w:lang w:val="en-US" w:eastAsia="zh-CN"/>
        </w:rPr>
        <w:t>单</w:t>
      </w:r>
      <w:r>
        <w:rPr>
          <w:rFonts w:hint="eastAsia" w:ascii="仿宋_GB2312" w:hAnsi="仿宋_GB2312" w:eastAsia="仿宋_GB2312" w:cs="仿宋_GB2312"/>
          <w:color w:val="auto"/>
          <w:sz w:val="32"/>
          <w:szCs w:val="32"/>
          <w:highlight w:val="none"/>
          <w:u w:val="single"/>
          <w:lang w:val="en-US" w:eastAsia="zh-CN"/>
        </w:rPr>
        <w:t>价</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方应当严格按照相关法律法规的规定管理矿区内的生产区域，采取合理的措施保障安全生产，并承担因</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方的原因导致发生的安全生产事故责任。</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方应确保矿区至指定运输起点（或</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方提货点）的道路在</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方提货运矿期间保持通畅。道路应具备足够的承载能力，能够满足乙方运输车辆的通行需求，包括但不限于车辆的吨位、轴距、尺寸等。</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default"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6、独家供应：</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（1）乙</w:t>
      </w:r>
      <w:r>
        <w:rPr>
          <w:rFonts w:hint="eastAsia" w:ascii="仿宋_GB2312" w:hAnsi="仿宋_GB2312" w:eastAsia="仿宋_GB2312" w:cs="仿宋_GB2312"/>
          <w:color w:val="auto"/>
          <w:sz w:val="32"/>
          <w:szCs w:val="32"/>
          <w:highlight w:val="none"/>
          <w:lang w:val="en-US" w:eastAsia="zh-CN"/>
        </w:rPr>
        <w:t>方承诺在本协议有效期</w:t>
      </w:r>
      <w:r>
        <w:rPr>
          <w:rFonts w:hint="eastAsia" w:ascii="仿宋_GB2312" w:hAnsi="仿宋_GB2312" w:cs="仿宋_GB2312"/>
          <w:color w:val="auto"/>
          <w:sz w:val="32"/>
          <w:szCs w:val="32"/>
          <w:highlight w:val="none"/>
          <w:lang w:val="en-US" w:eastAsia="zh-CN"/>
        </w:rPr>
        <w:t>二年</w:t>
      </w:r>
      <w:r>
        <w:rPr>
          <w:rFonts w:hint="eastAsia" w:ascii="仿宋_GB2312" w:hAnsi="仿宋_GB2312" w:eastAsia="仿宋_GB2312" w:cs="仿宋_GB2312"/>
          <w:color w:val="auto"/>
          <w:sz w:val="32"/>
          <w:szCs w:val="32"/>
          <w:highlight w:val="none"/>
          <w:lang w:val="en-US" w:eastAsia="zh-CN"/>
        </w:rPr>
        <w:t>内，其拥有的海南省儋州市大成镇西培农场端门岭矿区所产花岗岩矿毛石，在本合同约定的</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00万吨范围内，仅向</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方独家供应，且在</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方按约定履行提货及付款义务的前提下，优先保障</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方的供货需求。超出本合同数量部分，</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方有权自主销售。</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为稳定乙方成品骨料市场，避免因甲方囤积或不当销售合同项下毛石导致市场价格异常波动。甲方承诺，其采购的合同项下毛石，应主要用于自身生产经营所需，并应积极投入市场流通，不得为哄抬价格而囤积不售。如对外销售，其销售单价不得超过本合同毛石竞拍成交单价加上人民币</w:t>
      </w:r>
      <w:r>
        <w:rPr>
          <w:rFonts w:hint="eastAsia" w:ascii="仿宋_GB2312" w:hAnsi="仿宋_GB2312" w:cs="仿宋_GB2312"/>
          <w:color w:val="auto"/>
          <w:sz w:val="32"/>
          <w:szCs w:val="32"/>
          <w:highlight w:val="none"/>
          <w:u w:val="single"/>
          <w:lang w:val="en-US" w:eastAsia="zh-CN"/>
        </w:rPr>
        <w:t xml:space="preserve"> 伍 元</w:t>
      </w:r>
      <w:r>
        <w:rPr>
          <w:rFonts w:hint="eastAsia" w:ascii="仿宋_GB2312" w:hAnsi="仿宋_GB2312" w:cs="仿宋_GB2312"/>
          <w:color w:val="auto"/>
          <w:sz w:val="32"/>
          <w:szCs w:val="32"/>
          <w:highlight w:val="none"/>
          <w:lang w:val="en-US" w:eastAsia="zh-CN"/>
        </w:rPr>
        <w:t>/吨的利润空间。</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（3）如乙方发现第三方客户意向购买毛石，而甲方存在囤积或不积极销售之情形的，乙方可向甲方书面介绍该客户，甲方在收到乙方书面介绍通知后，必须在</w:t>
      </w:r>
      <w:r>
        <w:rPr>
          <w:rFonts w:hint="eastAsia" w:ascii="仿宋_GB2312" w:hAnsi="仿宋_GB2312" w:cs="仿宋_GB2312"/>
          <w:color w:val="auto"/>
          <w:sz w:val="32"/>
          <w:szCs w:val="32"/>
          <w:highlight w:val="none"/>
          <w:u w:val="single"/>
          <w:lang w:val="en-US" w:eastAsia="zh-CN"/>
        </w:rPr>
        <w:t xml:space="preserve"> 七 </w:t>
      </w:r>
      <w:r>
        <w:rPr>
          <w:rFonts w:hint="eastAsia" w:ascii="仿宋_GB2312" w:hAnsi="仿宋_GB2312" w:cs="仿宋_GB2312"/>
          <w:color w:val="auto"/>
          <w:sz w:val="32"/>
          <w:szCs w:val="32"/>
          <w:highlight w:val="none"/>
          <w:lang w:val="en-US" w:eastAsia="zh-CN"/>
        </w:rPr>
        <w:t>个工作日内，以不高于上述第（2）款约定的价格与该客户进行诚信磋商并完成销售。</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default" w:eastAsia="仿宋_GB2312"/>
          <w:lang w:val="en-US" w:eastAsia="zh-CN"/>
        </w:rPr>
      </w:pPr>
      <w:r>
        <w:rPr>
          <w:rFonts w:hint="eastAsia" w:ascii="仿宋_GB2312" w:hAnsi="仿宋_GB2312" w:cs="仿宋_GB2312"/>
          <w:color w:val="auto"/>
          <w:sz w:val="32"/>
          <w:szCs w:val="32"/>
          <w:highlight w:val="none"/>
          <w:lang w:val="en-US" w:eastAsia="zh-CN"/>
        </w:rPr>
        <w:t>（4）若甲方无正当理由，拒绝按前款约定价格与乙方介绍客户成交，则视为甲方违约。若甲方违反合同上诉第（2）款之承诺，或未能按预定提货或付款，乙方有权自行处置剩余标的物，并要求甲方承担本合同第十二条约定的相应的违约责任。</w:t>
      </w:r>
    </w:p>
    <w:p>
      <w:pPr>
        <w:keepNext w:val="0"/>
        <w:keepLines w:val="0"/>
        <w:pageBreakBefore w:val="0"/>
        <w:numPr>
          <w:ilvl w:val="0"/>
          <w:numId w:val="3"/>
        </w:numPr>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所有权及风险转移</w:t>
      </w:r>
    </w:p>
    <w:p>
      <w:pPr>
        <w:keepNext w:val="0"/>
        <w:keepLines w:val="0"/>
        <w:pageBreakBefore w:val="0"/>
        <w:numPr>
          <w:ilvl w:val="0"/>
          <w:numId w:val="0"/>
        </w:numPr>
        <w:kinsoku/>
        <w:wordWrap/>
        <w:overflowPunct/>
        <w:topLinePunct w:val="0"/>
        <w:bidi w:val="0"/>
        <w:adjustRightInd w:val="0"/>
        <w:snapToGrid w:val="0"/>
        <w:spacing w:line="560" w:lineRule="exact"/>
        <w:ind w:firstLine="640" w:firstLineChars="200"/>
        <w:jc w:val="left"/>
        <w:textAlignment w:val="auto"/>
        <w:outlineLvl w:val="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cs="仿宋_GB2312"/>
          <w:color w:val="auto"/>
          <w:sz w:val="32"/>
          <w:szCs w:val="32"/>
          <w:highlight w:val="none"/>
          <w:lang w:val="en-US" w:eastAsia="zh-CN"/>
        </w:rPr>
        <w:t>在甲方结清某一批次产品的全部款项，过磅前该批次产品的所有权仍属于乙方。甲方付清该批次货款后，所有权自动转移至甲方。</w:t>
      </w:r>
    </w:p>
    <w:p>
      <w:pPr>
        <w:keepNext w:val="0"/>
        <w:keepLines w:val="0"/>
        <w:pageBreakBefore w:val="0"/>
        <w:kinsoku/>
        <w:wordWrap/>
        <w:overflowPunct/>
        <w:topLinePunct w:val="0"/>
        <w:bidi w:val="0"/>
        <w:adjustRightInd w:val="0"/>
        <w:snapToGrid w:val="0"/>
        <w:spacing w:line="560" w:lineRule="exact"/>
        <w:ind w:left="0" w:leftChars="0" w:firstLine="640" w:firstLineChars="20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2、产品的毁损、灭失风险自</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方交付给</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方时发生转移。</w:t>
      </w:r>
      <w:r>
        <w:rPr>
          <w:rFonts w:hint="eastAsia" w:ascii="仿宋_GB2312" w:hAnsi="仿宋_GB2312" w:cs="仿宋_GB2312"/>
          <w:color w:val="auto"/>
          <w:sz w:val="32"/>
          <w:szCs w:val="32"/>
          <w:highlight w:val="none"/>
          <w:lang w:val="en-US" w:eastAsia="zh-CN"/>
        </w:rPr>
        <w:t>所有权保留期间，甲方应妥善保管货物并承担毁损、灭失风险。</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b/>
          <w:color w:val="auto"/>
          <w:sz w:val="32"/>
          <w:szCs w:val="32"/>
          <w:highlight w:val="none"/>
        </w:rPr>
        <w:t>第</w:t>
      </w:r>
      <w:r>
        <w:rPr>
          <w:rFonts w:hint="eastAsia" w:ascii="仿宋_GB2312" w:hAnsi="仿宋_GB2312" w:cs="仿宋_GB2312"/>
          <w:b/>
          <w:color w:val="auto"/>
          <w:sz w:val="32"/>
          <w:szCs w:val="32"/>
          <w:highlight w:val="none"/>
          <w:lang w:val="en-US" w:eastAsia="zh-CN"/>
        </w:rPr>
        <w:t>十</w:t>
      </w:r>
      <w:r>
        <w:rPr>
          <w:rFonts w:hint="eastAsia" w:ascii="仿宋_GB2312" w:hAnsi="仿宋_GB2312" w:eastAsia="仿宋_GB2312" w:cs="仿宋_GB2312"/>
          <w:b/>
          <w:color w:val="auto"/>
          <w:sz w:val="32"/>
          <w:szCs w:val="32"/>
          <w:highlight w:val="none"/>
        </w:rPr>
        <w:t>条  合同的变更</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1、除本合同另有约定外本合同下的任何条款变更或补充,须由甲、乙双方协商解决并签订书面补充协议，补充协议与本合同具有同等法律效力。</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2、合同期间，在对价格进行调整时，采用</w:t>
      </w:r>
      <w:r>
        <w:rPr>
          <w:rFonts w:hint="eastAsia" w:ascii="仿宋_GB2312" w:hAnsi="仿宋_GB2312" w:eastAsia="仿宋_GB2312" w:cs="仿宋_GB2312"/>
          <w:color w:val="auto"/>
          <w:sz w:val="32"/>
          <w:szCs w:val="32"/>
          <w:highlight w:val="none"/>
          <w:u w:val="single"/>
        </w:rPr>
        <w:t>B</w:t>
      </w:r>
      <w:r>
        <w:rPr>
          <w:rFonts w:hint="eastAsia" w:ascii="仿宋_GB2312" w:hAnsi="仿宋_GB2312" w:eastAsia="仿宋_GB2312" w:cs="仿宋_GB2312"/>
          <w:color w:val="auto"/>
          <w:sz w:val="32"/>
          <w:szCs w:val="32"/>
          <w:highlight w:val="none"/>
        </w:rPr>
        <w:t>种形式进行确认。</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rPr>
        <w:t>A、电子邮件确认（以此方式确认的，邮箱地址、授权</w:t>
      </w:r>
      <w:r>
        <w:rPr>
          <w:rFonts w:hint="eastAsia" w:ascii="仿宋_GB2312" w:hAnsi="仿宋_GB2312" w:eastAsia="仿宋_GB2312" w:cs="仿宋_GB2312"/>
          <w:bCs/>
          <w:color w:val="auto"/>
          <w:sz w:val="32"/>
          <w:szCs w:val="32"/>
          <w:highlight w:val="none"/>
        </w:rPr>
        <w:t>联系人信息、授权时间及授权范围须经甲乙双方事先书面确认）；</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B、价格调整确认函，经甲、乙双方签字并盖章确认（乙方对其通过加盖公司公章、合同章确认的价格调整确认函均予以认可，并承担相应的法律后果）。</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若</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方未</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上述约定的调价方式对价格调整进行确认，但自调价起始日起继续向</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方提货的，视为</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方已同意价格调整，甲方有权按照调整后的价格进行结算。</w:t>
      </w: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cs="仿宋_GB2312"/>
          <w:b/>
          <w:color w:val="auto"/>
          <w:sz w:val="32"/>
          <w:szCs w:val="32"/>
          <w:highlight w:val="none"/>
          <w:lang w:val="en-US" w:eastAsia="zh-CN"/>
        </w:rPr>
        <w:t>一</w:t>
      </w:r>
      <w:r>
        <w:rPr>
          <w:rFonts w:hint="eastAsia" w:ascii="仿宋_GB2312" w:hAnsi="仿宋_GB2312" w:eastAsia="仿宋_GB2312" w:cs="仿宋_GB2312"/>
          <w:b/>
          <w:color w:val="auto"/>
          <w:sz w:val="32"/>
          <w:szCs w:val="32"/>
          <w:highlight w:val="none"/>
        </w:rPr>
        <w:t>条  通</w:t>
      </w:r>
      <w:r>
        <w:rPr>
          <w:rFonts w:hint="eastAsia" w:ascii="仿宋_GB2312" w:hAnsi="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知</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1、本合同履行期间，甲、乙双方所有的通讯联络应以</w:t>
      </w:r>
      <w:r>
        <w:rPr>
          <w:rFonts w:hint="eastAsia" w:ascii="仿宋_GB2312" w:hAnsi="仿宋_GB2312" w:eastAsia="仿宋_GB2312" w:cs="仿宋_GB2312"/>
          <w:color w:val="auto"/>
          <w:sz w:val="32"/>
          <w:szCs w:val="32"/>
          <w:highlight w:val="none"/>
        </w:rPr>
        <w:t>包括</w:t>
      </w:r>
      <w:r>
        <w:rPr>
          <w:rFonts w:hint="eastAsia" w:ascii="仿宋_GB2312" w:hAnsi="仿宋_GB2312" w:eastAsia="仿宋_GB2312" w:cs="仿宋_GB2312"/>
          <w:color w:val="auto"/>
          <w:sz w:val="32"/>
          <w:szCs w:val="32"/>
          <w:highlight w:val="none"/>
          <w:lang w:val="en-GB"/>
        </w:rPr>
        <w:t>电话/</w:t>
      </w:r>
      <w:r>
        <w:rPr>
          <w:rFonts w:hint="eastAsia" w:ascii="仿宋_GB2312" w:hAnsi="仿宋_GB2312" w:eastAsia="仿宋_GB2312" w:cs="仿宋_GB2312"/>
          <w:color w:val="auto"/>
          <w:sz w:val="32"/>
          <w:szCs w:val="32"/>
          <w:highlight w:val="none"/>
        </w:rPr>
        <w:t>短信/微信/电子邮件在内的方式进行</w:t>
      </w:r>
      <w:r>
        <w:rPr>
          <w:rFonts w:hint="eastAsia" w:ascii="仿宋_GB2312" w:hAnsi="仿宋_GB2312" w:eastAsia="仿宋_GB2312" w:cs="仿宋_GB2312"/>
          <w:color w:val="auto"/>
          <w:sz w:val="32"/>
          <w:szCs w:val="32"/>
          <w:highlight w:val="none"/>
          <w:lang w:val="en-GB"/>
        </w:rPr>
        <w:t>。</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2、任何一方按本合同的规定发出的任何通知或书面通讯，均应以中文书写，并用速递方式迅速发往或寄往对方。</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GB"/>
        </w:rPr>
        <w:t>（1）用电话/</w:t>
      </w:r>
      <w:r>
        <w:rPr>
          <w:rFonts w:hint="eastAsia" w:ascii="仿宋_GB2312" w:hAnsi="仿宋_GB2312" w:eastAsia="仿宋_GB2312" w:cs="仿宋_GB2312"/>
          <w:color w:val="auto"/>
          <w:sz w:val="32"/>
          <w:szCs w:val="32"/>
          <w:highlight w:val="none"/>
        </w:rPr>
        <w:t>短信/微信/电子邮件</w:t>
      </w:r>
      <w:r>
        <w:rPr>
          <w:rFonts w:hint="eastAsia" w:ascii="仿宋_GB2312" w:hAnsi="仿宋_GB2312" w:eastAsia="仿宋_GB2312" w:cs="仿宋_GB2312"/>
          <w:color w:val="auto"/>
          <w:sz w:val="32"/>
          <w:szCs w:val="32"/>
          <w:highlight w:val="none"/>
          <w:lang w:val="en-GB"/>
        </w:rPr>
        <w:t>发出的通知，应在发出通知的3日内</w:t>
      </w:r>
      <w:r>
        <w:rPr>
          <w:rFonts w:hint="eastAsia" w:ascii="仿宋_GB2312" w:hAnsi="仿宋_GB2312" w:eastAsia="仿宋_GB2312" w:cs="仿宋_GB2312"/>
          <w:color w:val="auto"/>
          <w:sz w:val="32"/>
          <w:szCs w:val="32"/>
          <w:highlight w:val="none"/>
        </w:rPr>
        <w:t>补办正式签字及盖章手续的书面通知，并速递给对方；</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 xml:space="preserve">（2）用信函发出的通知，则在邮资付讫的挂号信寄出日（以邮戳为凭）后的第5天，或在送交快递服务机构后的第3天，应视为有效送达； </w:t>
      </w:r>
    </w:p>
    <w:p>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rPr>
        <w:t>除甲、乙双方的地址已按照本条的规定书面通知了对方并经对方书面确认的情况，一切通知均须发往甲、乙双方在本合同中载明的地址。</w:t>
      </w: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cs="仿宋_GB2312"/>
          <w:b/>
          <w:color w:val="auto"/>
          <w:sz w:val="32"/>
          <w:szCs w:val="32"/>
          <w:highlight w:val="none"/>
          <w:lang w:val="en-US" w:eastAsia="zh-CN"/>
        </w:rPr>
        <w:t>二</w:t>
      </w:r>
      <w:r>
        <w:rPr>
          <w:rFonts w:hint="eastAsia" w:ascii="仿宋_GB2312" w:hAnsi="仿宋_GB2312" w:eastAsia="仿宋_GB2312" w:cs="仿宋_GB2312"/>
          <w:b/>
          <w:color w:val="auto"/>
          <w:sz w:val="32"/>
          <w:szCs w:val="32"/>
          <w:highlight w:val="none"/>
        </w:rPr>
        <w:t>条  违约责任</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方的违约责任</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方如错误指示到货地点/收货人，或对</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方订单有任何信息错误的，应当承担因此产生的一切相关损失。</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方扰乱</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方生产经营秩序（包括但不限于</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方阻碍</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方进行任何产品生产、销售或发运）的，</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方有权按</w:t>
      </w:r>
      <w:r>
        <w:rPr>
          <w:rFonts w:hint="eastAsia" w:ascii="仿宋_GB2312" w:hAnsi="仿宋_GB2312" w:cs="仿宋_GB2312"/>
          <w:color w:val="auto"/>
          <w:sz w:val="32"/>
          <w:szCs w:val="32"/>
          <w:highlight w:val="none"/>
          <w:u w:val="single"/>
          <w:lang w:val="en-US" w:eastAsia="zh-CN"/>
        </w:rPr>
        <w:t xml:space="preserve"> 伍仟 </w:t>
      </w:r>
      <w:r>
        <w:rPr>
          <w:rFonts w:hint="eastAsia" w:ascii="仿宋_GB2312" w:hAnsi="仿宋_GB2312" w:eastAsia="仿宋_GB2312" w:cs="仿宋_GB2312"/>
          <w:color w:val="auto"/>
          <w:sz w:val="32"/>
          <w:szCs w:val="32"/>
          <w:highlight w:val="none"/>
        </w:rPr>
        <w:t>元/次向</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方计收违约金，同时有权终止本合同，并要求</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方赔偿由此给</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方造成的损失。</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方不得有恶意竞争行为，从而恶意低价冲击拉低周边石料市场价格，如有发生，视为</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方违约。</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方有权</w:t>
      </w:r>
      <w:r>
        <w:rPr>
          <w:rFonts w:hint="eastAsia" w:ascii="仿宋_GB2312" w:hAnsi="仿宋_GB2312" w:eastAsia="仿宋_GB2312" w:cs="仿宋_GB2312"/>
          <w:color w:val="auto"/>
          <w:sz w:val="32"/>
          <w:szCs w:val="32"/>
          <w:highlight w:val="none"/>
          <w:lang w:val="en-US" w:eastAsia="zh-CN"/>
        </w:rPr>
        <w:t>无条件</w:t>
      </w:r>
      <w:r>
        <w:rPr>
          <w:rFonts w:hint="eastAsia" w:ascii="仿宋_GB2312" w:hAnsi="仿宋_GB2312" w:eastAsia="仿宋_GB2312" w:cs="仿宋_GB2312"/>
          <w:color w:val="auto"/>
          <w:sz w:val="32"/>
          <w:szCs w:val="32"/>
          <w:highlight w:val="none"/>
        </w:rPr>
        <w:t>终止本合同，并要求</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方赔偿由此给</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方造成的损失</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甲方承诺其提供的所有运输车辆及驾驶人员均符合国家及地方现行法律法规要求。甲方应自行负责办理运输所需的一切许可证件，并确保在整个运输过程中，无任何超载、超限、超速、抛洒地漏等违法行为。</w:t>
      </w:r>
    </w:p>
    <w:p>
      <w:pPr>
        <w:pStyle w:val="2"/>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（5）甲</w:t>
      </w:r>
      <w:r>
        <w:rPr>
          <w:rFonts w:hint="eastAsia" w:ascii="仿宋_GB2312" w:hAnsi="仿宋_GB2312" w:eastAsia="仿宋_GB2312" w:cs="仿宋_GB2312"/>
          <w:color w:val="auto"/>
          <w:sz w:val="32"/>
          <w:szCs w:val="32"/>
          <w:highlight w:val="none"/>
          <w:lang w:val="en-US" w:eastAsia="zh-CN"/>
        </w:rPr>
        <w:t>方在</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方指定地点提货过程中，</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方工作人员及车辆应严格遵守</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lang w:val="en-US" w:eastAsia="zh-CN"/>
        </w:rPr>
        <w:t>方厂区内的规章制度，由于</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方工作人员、车辆等自身原因导致发生安全生产事故，</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lang w:val="en-US" w:eastAsia="zh-CN"/>
        </w:rPr>
        <w:t>方自行承担因此造成的所有损失。</w:t>
      </w:r>
    </w:p>
    <w:p>
      <w:pPr>
        <w:pStyle w:val="2"/>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cs="仿宋_GB2312"/>
          <w:color w:val="auto"/>
          <w:sz w:val="32"/>
          <w:szCs w:val="32"/>
          <w:highlight w:val="yellow"/>
          <w:lang w:val="en-US" w:eastAsia="zh-CN"/>
        </w:rPr>
      </w:pPr>
      <w:r>
        <w:rPr>
          <w:rFonts w:hint="eastAsia" w:ascii="仿宋_GB2312" w:hAnsi="仿宋_GB2312" w:cs="仿宋_GB2312"/>
          <w:color w:val="auto"/>
          <w:sz w:val="32"/>
          <w:szCs w:val="32"/>
          <w:highlight w:val="none"/>
          <w:lang w:val="en-US" w:eastAsia="zh-CN"/>
        </w:rPr>
        <w:t>（6）若甲方未在收到乙方提货通知后</w:t>
      </w:r>
      <w:r>
        <w:rPr>
          <w:rFonts w:hint="eastAsia" w:ascii="仿宋_GB2312" w:hAnsi="仿宋_GB2312" w:cs="仿宋_GB2312"/>
          <w:color w:val="auto"/>
          <w:sz w:val="32"/>
          <w:szCs w:val="32"/>
          <w:highlight w:val="none"/>
          <w:u w:val="single"/>
          <w:lang w:val="en-US" w:eastAsia="zh-CN"/>
        </w:rPr>
        <w:t xml:space="preserve">  七 </w:t>
      </w:r>
      <w:r>
        <w:rPr>
          <w:rFonts w:hint="eastAsia" w:ascii="仿宋_GB2312" w:hAnsi="仿宋_GB2312" w:cs="仿宋_GB2312"/>
          <w:color w:val="auto"/>
          <w:sz w:val="32"/>
          <w:szCs w:val="32"/>
          <w:highlight w:val="none"/>
          <w:lang w:val="en-US" w:eastAsia="zh-CN"/>
        </w:rPr>
        <w:t>个工作日内提货且未经乙方书面同意延迟提货，视为甲方延迟提货，乙方不承担逾期责任</w:t>
      </w:r>
      <w:bookmarkStart w:id="0" w:name="_GoBack"/>
      <w:r>
        <w:rPr>
          <w:rFonts w:hint="eastAsia" w:ascii="仿宋_GB2312" w:hAnsi="仿宋_GB2312" w:cs="仿宋_GB2312"/>
          <w:color w:val="auto"/>
          <w:sz w:val="32"/>
          <w:szCs w:val="32"/>
          <w:highlight w:val="none"/>
          <w:lang w:val="en-US" w:eastAsia="zh-CN"/>
        </w:rPr>
        <w:t>。若因甲方原因其未按约定时间提货导致乙方交货延迟，并给其造成造成的经济损失，由甲方进行赔偿。</w:t>
      </w:r>
      <w:bookmarkEnd w:id="0"/>
    </w:p>
    <w:p>
      <w:pPr>
        <w:pStyle w:val="2"/>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（7）若甲方未按约定补足保证金差额，视为甲方违约，乙方有权要求甲方按成交价的</w:t>
      </w:r>
      <w:r>
        <w:rPr>
          <w:rFonts w:hint="eastAsia" w:ascii="仿宋_GB2312" w:hAnsi="仿宋_GB2312" w:cs="仿宋_GB2312"/>
          <w:color w:val="auto"/>
          <w:sz w:val="32"/>
          <w:szCs w:val="32"/>
          <w:highlight w:val="none"/>
          <w:u w:val="single"/>
          <w:lang w:val="en-US" w:eastAsia="zh-CN"/>
        </w:rPr>
        <w:t xml:space="preserve"> 10% </w:t>
      </w:r>
      <w:r>
        <w:rPr>
          <w:rFonts w:hint="eastAsia" w:ascii="仿宋_GB2312" w:hAnsi="仿宋_GB2312" w:cs="仿宋_GB2312"/>
          <w:color w:val="auto"/>
          <w:sz w:val="32"/>
          <w:szCs w:val="32"/>
          <w:highlight w:val="none"/>
          <w:u w:val="none"/>
          <w:lang w:val="en-US" w:eastAsia="zh-CN"/>
        </w:rPr>
        <w:t>支付违约金，已支付的保证金不予退还。若甲方未按约补足保证金差额超过</w:t>
      </w:r>
      <w:r>
        <w:rPr>
          <w:rFonts w:hint="eastAsia" w:ascii="仿宋_GB2312" w:hAnsi="仿宋_GB2312" w:cs="仿宋_GB2312"/>
          <w:color w:val="auto"/>
          <w:sz w:val="32"/>
          <w:szCs w:val="32"/>
          <w:highlight w:val="none"/>
          <w:u w:val="single"/>
          <w:lang w:val="en-US" w:eastAsia="zh-CN"/>
        </w:rPr>
        <w:t xml:space="preserve"> 一 </w:t>
      </w:r>
      <w:r>
        <w:rPr>
          <w:rFonts w:hint="eastAsia" w:ascii="仿宋_GB2312" w:hAnsi="仿宋_GB2312" w:cs="仿宋_GB2312"/>
          <w:color w:val="auto"/>
          <w:sz w:val="32"/>
          <w:szCs w:val="32"/>
          <w:highlight w:val="none"/>
          <w:u w:val="none"/>
          <w:lang w:val="en-US" w:eastAsia="zh-CN"/>
        </w:rPr>
        <w:t>个自然月，乙方有权单方面解除合同，并要求甲方赔偿包括但不限于重新拍卖的差价损失、律师费、诉讼费等全部实际损失。</w:t>
      </w:r>
    </w:p>
    <w:p>
      <w:pPr>
        <w:pStyle w:val="2"/>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（8）若甲方逾期支付货款的，乙方有权暂停供货，并要求甲方支付每逾期</w:t>
      </w:r>
      <w:r>
        <w:rPr>
          <w:rFonts w:hint="eastAsia" w:ascii="仿宋_GB2312" w:hAnsi="仿宋_GB2312" w:cs="仿宋_GB2312"/>
          <w:color w:val="auto"/>
          <w:sz w:val="32"/>
          <w:szCs w:val="32"/>
          <w:highlight w:val="none"/>
          <w:u w:val="single"/>
          <w:lang w:val="en-US" w:eastAsia="zh-CN"/>
        </w:rPr>
        <w:t xml:space="preserve"> 一 </w:t>
      </w:r>
      <w:r>
        <w:rPr>
          <w:rFonts w:hint="eastAsia" w:ascii="仿宋_GB2312" w:hAnsi="仿宋_GB2312" w:cs="仿宋_GB2312"/>
          <w:color w:val="auto"/>
          <w:sz w:val="32"/>
          <w:szCs w:val="32"/>
          <w:highlight w:val="none"/>
          <w:u w:val="none"/>
          <w:lang w:val="en-US" w:eastAsia="zh-CN"/>
        </w:rPr>
        <w:t>个工作日应付金额的</w:t>
      </w:r>
      <w:r>
        <w:rPr>
          <w:rFonts w:hint="eastAsia" w:ascii="仿宋_GB2312" w:hAnsi="仿宋_GB2312" w:cs="仿宋_GB2312"/>
          <w:color w:val="auto"/>
          <w:sz w:val="32"/>
          <w:szCs w:val="32"/>
          <w:highlight w:val="none"/>
          <w:u w:val="single"/>
          <w:lang w:val="en-US" w:eastAsia="zh-CN"/>
        </w:rPr>
        <w:t>0.05%</w:t>
      </w:r>
      <w:r>
        <w:rPr>
          <w:rFonts w:hint="eastAsia" w:ascii="仿宋_GB2312" w:hAnsi="仿宋_GB2312" w:cs="仿宋_GB2312"/>
          <w:color w:val="auto"/>
          <w:sz w:val="32"/>
          <w:szCs w:val="32"/>
          <w:highlight w:val="none"/>
          <w:u w:val="none"/>
          <w:lang w:val="en-US" w:eastAsia="zh-CN"/>
        </w:rPr>
        <w:t>的违约金；逾期超过</w:t>
      </w:r>
      <w:r>
        <w:rPr>
          <w:rFonts w:hint="eastAsia" w:ascii="仿宋_GB2312" w:hAnsi="仿宋_GB2312" w:cs="仿宋_GB2312"/>
          <w:color w:val="auto"/>
          <w:sz w:val="32"/>
          <w:szCs w:val="32"/>
          <w:highlight w:val="none"/>
          <w:u w:val="single"/>
          <w:lang w:val="en-US" w:eastAsia="zh-CN"/>
        </w:rPr>
        <w:t xml:space="preserve"> 七 </w:t>
      </w:r>
      <w:r>
        <w:rPr>
          <w:rFonts w:hint="eastAsia" w:ascii="仿宋_GB2312" w:hAnsi="仿宋_GB2312" w:cs="仿宋_GB2312"/>
          <w:color w:val="auto"/>
          <w:sz w:val="32"/>
          <w:szCs w:val="32"/>
          <w:highlight w:val="none"/>
          <w:u w:val="none"/>
          <w:lang w:val="en-US" w:eastAsia="zh-CN"/>
        </w:rPr>
        <w:t>个工作日的，乙方有权解除合同，并要求甲方赔偿相当于本合同总价款的</w:t>
      </w:r>
      <w:r>
        <w:rPr>
          <w:rFonts w:hint="eastAsia" w:ascii="仿宋_GB2312" w:hAnsi="仿宋_GB2312" w:cs="仿宋_GB2312"/>
          <w:color w:val="auto"/>
          <w:sz w:val="32"/>
          <w:szCs w:val="32"/>
          <w:highlight w:val="none"/>
          <w:u w:val="single"/>
          <w:lang w:val="en-US" w:eastAsia="zh-CN"/>
        </w:rPr>
        <w:t xml:space="preserve"> 10% </w:t>
      </w:r>
      <w:r>
        <w:rPr>
          <w:rFonts w:hint="eastAsia" w:ascii="仿宋_GB2312" w:hAnsi="仿宋_GB2312" w:cs="仿宋_GB2312"/>
          <w:color w:val="auto"/>
          <w:sz w:val="32"/>
          <w:szCs w:val="32"/>
          <w:highlight w:val="none"/>
          <w:u w:val="none"/>
          <w:lang w:val="en-US" w:eastAsia="zh-CN"/>
        </w:rPr>
        <w:t>的违约金，若该违约金不足以弥补乙方因此遭受的损失（包括但不限于预期利润损失、重新销售的价格损失、律师诉讼费等），甲方应另行赔偿。</w:t>
      </w:r>
    </w:p>
    <w:p>
      <w:pPr>
        <w:pStyle w:val="2"/>
        <w:keepNext w:val="0"/>
        <w:keepLines w:val="0"/>
        <w:pageBreakBefore w:val="0"/>
        <w:kinsoku/>
        <w:wordWrap/>
        <w:overflowPunct/>
        <w:topLinePunct w:val="0"/>
        <w:bidi w:val="0"/>
        <w:spacing w:line="560" w:lineRule="exact"/>
        <w:ind w:firstLine="640" w:firstLineChars="200"/>
        <w:jc w:val="left"/>
        <w:textAlignment w:val="auto"/>
        <w:rPr>
          <w:rFonts w:hint="default" w:ascii="仿宋_GB2312" w:hAnsi="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u w:val="none"/>
          <w:lang w:val="en-US" w:eastAsia="zh-CN"/>
        </w:rPr>
        <w:t>（9）若甲方违反本合同第七条之承诺，即对外销售毛石的价格超过允许的利润空间，包括但不限于无正当理由拒绝按约定价格与乙方介绍的客户成交，应立即停止该行为，并向乙方支付本合同总价款的</w:t>
      </w:r>
      <w:r>
        <w:rPr>
          <w:rFonts w:hint="eastAsia" w:ascii="仿宋_GB2312" w:hAnsi="仿宋_GB2312" w:cs="仿宋_GB2312"/>
          <w:color w:val="auto"/>
          <w:sz w:val="32"/>
          <w:szCs w:val="32"/>
          <w:highlight w:val="none"/>
          <w:u w:val="single"/>
          <w:lang w:val="en-US" w:eastAsia="zh-CN"/>
        </w:rPr>
        <w:t xml:space="preserve"> 10% </w:t>
      </w:r>
      <w:r>
        <w:rPr>
          <w:rFonts w:hint="eastAsia" w:ascii="仿宋_GB2312" w:hAnsi="仿宋_GB2312" w:cs="仿宋_GB2312"/>
          <w:color w:val="auto"/>
          <w:sz w:val="32"/>
          <w:szCs w:val="32"/>
          <w:highlight w:val="none"/>
          <w:u w:val="none"/>
          <w:lang w:val="en-US" w:eastAsia="zh-CN"/>
        </w:rPr>
        <w:t>的违约金。该违约金不足以弥补乙方因此遭受的全部损失（包括但不限于重新销售的价格损失、预期利润损失、律师费、诉讼费等），甲方应另行赔偿。此行为同时视为根本违约，乙方有权单方解除合同。</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方的违约责任</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方交付的产品品种、规格、质量若有不符合合同约定的，如</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方同意使用的，应按质论价；</w:t>
      </w: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方不能使用的，应视具体情况由</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方负责更换、退货、并承担相应的费用支出。</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w:t>
      </w:r>
      <w:r>
        <w:rPr>
          <w:rFonts w:hint="eastAsia" w:ascii="仿宋_GB2312" w:hAnsi="仿宋_GB2312" w:eastAsia="仿宋_GB2312" w:cs="仿宋_GB2312"/>
          <w:color w:val="auto"/>
          <w:sz w:val="32"/>
          <w:szCs w:val="32"/>
          <w:highlight w:val="none"/>
          <w:lang w:val="en-US" w:eastAsia="zh-CN"/>
        </w:rPr>
        <w:t>逾期交货且逾期时间达到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一</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个自然月，应支付</w:t>
      </w:r>
      <w:r>
        <w:rPr>
          <w:rFonts w:hint="eastAsia" w:ascii="仿宋_GB2312" w:hAnsi="仿宋_GB2312" w:cs="仿宋_GB2312"/>
          <w:color w:val="auto"/>
          <w:sz w:val="32"/>
          <w:szCs w:val="32"/>
          <w:highlight w:val="none"/>
          <w:u w:val="none"/>
          <w:lang w:val="en-US" w:eastAsia="zh-CN"/>
        </w:rPr>
        <w:t>逾期交货货值</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0.05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的违约金，后续每逾期</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一</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个自然月需承担</w:t>
      </w:r>
      <w:r>
        <w:rPr>
          <w:rFonts w:hint="eastAsia" w:ascii="仿宋_GB2312" w:hAnsi="仿宋_GB2312" w:cs="仿宋_GB2312"/>
          <w:color w:val="auto"/>
          <w:sz w:val="32"/>
          <w:szCs w:val="32"/>
          <w:highlight w:val="none"/>
          <w:u w:val="none"/>
          <w:lang w:val="en-US" w:eastAsia="zh-CN"/>
        </w:rPr>
        <w:t>逾期交货货值</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cs="仿宋_GB2312"/>
          <w:color w:val="auto"/>
          <w:sz w:val="32"/>
          <w:szCs w:val="32"/>
          <w:highlight w:val="none"/>
          <w:u w:val="single"/>
          <w:lang w:val="en-US" w:eastAsia="zh-CN"/>
        </w:rPr>
        <w:t>0.05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的违约金</w:t>
      </w:r>
      <w:r>
        <w:rPr>
          <w:rFonts w:hint="eastAsia" w:ascii="仿宋_GB2312" w:hAnsi="仿宋_GB2312" w:cs="仿宋_GB2312"/>
          <w:color w:val="auto"/>
          <w:sz w:val="32"/>
          <w:szCs w:val="32"/>
          <w:highlight w:val="none"/>
          <w:u w:val="none"/>
          <w:lang w:val="en-US" w:eastAsia="zh-CN"/>
        </w:rPr>
        <w:t>，但违约金累计不超过逾期交货货值的</w:t>
      </w:r>
      <w:r>
        <w:rPr>
          <w:rFonts w:hint="eastAsia" w:ascii="仿宋_GB2312" w:hAnsi="仿宋_GB2312" w:cs="仿宋_GB2312"/>
          <w:color w:val="auto"/>
          <w:sz w:val="32"/>
          <w:szCs w:val="32"/>
          <w:highlight w:val="none"/>
          <w:u w:val="single"/>
          <w:lang w:val="en-US" w:eastAsia="zh-CN"/>
        </w:rPr>
        <w:t xml:space="preserve"> 5% </w:t>
      </w:r>
      <w:r>
        <w:rPr>
          <w:rFonts w:hint="eastAsia" w:ascii="仿宋_GB2312" w:hAnsi="仿宋_GB2312" w:cs="仿宋_GB2312"/>
          <w:color w:val="auto"/>
          <w:sz w:val="32"/>
          <w:szCs w:val="32"/>
          <w:highlight w:val="none"/>
          <w:u w:val="none"/>
          <w:lang w:val="en-US" w:eastAsia="zh-CN"/>
        </w:rPr>
        <w:t>。</w:t>
      </w: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  免责条款</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outlineLvl w:val="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在履行本合同的过程中，由于出现不可抗力的事由，导致本合同不能履行时，</w:t>
      </w:r>
      <w:r>
        <w:rPr>
          <w:rFonts w:hint="eastAsia" w:ascii="仿宋_GB2312" w:hAnsi="仿宋_GB2312" w:cs="仿宋_GB2312"/>
          <w:color w:val="auto"/>
          <w:sz w:val="32"/>
          <w:szCs w:val="32"/>
          <w:highlight w:val="none"/>
          <w:lang w:val="en-US" w:eastAsia="zh-CN"/>
        </w:rPr>
        <w:t>受阻方</w:t>
      </w:r>
      <w:r>
        <w:rPr>
          <w:rFonts w:hint="eastAsia" w:ascii="仿宋_GB2312" w:hAnsi="仿宋_GB2312" w:eastAsia="仿宋_GB2312" w:cs="仿宋_GB2312"/>
          <w:color w:val="auto"/>
          <w:sz w:val="32"/>
          <w:szCs w:val="32"/>
          <w:highlight w:val="none"/>
        </w:rPr>
        <w:t>应当在事发后72小时内通知对方并附政府主管部门出具的证明文件，方可在不可抗力影响范围内免除其不履行部分的违约责任。</w:t>
      </w:r>
    </w:p>
    <w:p>
      <w:pPr>
        <w:pStyle w:val="2"/>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2、因政府审批延迟、甲方未配合提供手续所需材料导致的交货延迟，乙方可免除相应责任。</w:t>
      </w:r>
    </w:p>
    <w:p>
      <w:pPr>
        <w:pStyle w:val="2"/>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3、如因甲方提货影响乙方项目总包单位施工进度，乙方有权暂缓供货并不承担任何责任，甲方有权要求退还剩余资金（无息）。</w:t>
      </w:r>
    </w:p>
    <w:p>
      <w:pPr>
        <w:pStyle w:val="2"/>
        <w:keepNext w:val="0"/>
        <w:keepLines w:val="0"/>
        <w:pageBreakBefore w:val="0"/>
        <w:numPr>
          <w:ilvl w:val="0"/>
          <w:numId w:val="0"/>
        </w:numPr>
        <w:kinsoku/>
        <w:wordWrap/>
        <w:overflowPunct/>
        <w:topLinePunct w:val="0"/>
        <w:bidi w:val="0"/>
        <w:spacing w:line="560" w:lineRule="exact"/>
        <w:ind w:firstLine="640" w:firstLineChars="200"/>
        <w:jc w:val="left"/>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4、因竞拍程序导致的交货延迟，乙方不承担违约责任。</w:t>
      </w: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cs="仿宋_GB2312"/>
          <w:b/>
          <w:color w:val="auto"/>
          <w:sz w:val="32"/>
          <w:szCs w:val="32"/>
          <w:highlight w:val="none"/>
          <w:lang w:val="en-US" w:eastAsia="zh-CN"/>
        </w:rPr>
        <w:t>四</w:t>
      </w:r>
      <w:r>
        <w:rPr>
          <w:rFonts w:hint="eastAsia" w:ascii="仿宋_GB2312" w:hAnsi="仿宋_GB2312" w:eastAsia="仿宋_GB2312" w:cs="仿宋_GB2312"/>
          <w:b/>
          <w:color w:val="auto"/>
          <w:sz w:val="32"/>
          <w:szCs w:val="32"/>
          <w:highlight w:val="none"/>
        </w:rPr>
        <w:t>条  争议解决</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因本合同所发生的任何争议，由甲、乙双方协商解决；若协商不成，应向</w:t>
      </w:r>
      <w:r>
        <w:rPr>
          <w:rFonts w:hint="eastAsia" w:ascii="仿宋_GB2312" w:hAnsi="仿宋_GB2312" w:cs="仿宋_GB2312"/>
          <w:color w:val="auto"/>
          <w:sz w:val="32"/>
          <w:szCs w:val="32"/>
          <w:highlight w:val="none"/>
          <w:lang w:val="en-US" w:eastAsia="zh-CN"/>
        </w:rPr>
        <w:t>乙</w:t>
      </w:r>
      <w:r>
        <w:rPr>
          <w:rFonts w:hint="eastAsia" w:ascii="仿宋_GB2312" w:hAnsi="仿宋_GB2312" w:eastAsia="仿宋_GB2312" w:cs="仿宋_GB2312"/>
          <w:color w:val="auto"/>
          <w:sz w:val="32"/>
          <w:szCs w:val="32"/>
          <w:highlight w:val="none"/>
        </w:rPr>
        <w:t>方所在地有管辖权的人民法院诉讼。</w:t>
      </w:r>
    </w:p>
    <w:p>
      <w:pPr>
        <w:keepNext w:val="0"/>
        <w:keepLines w:val="0"/>
        <w:pageBreakBefore w:val="0"/>
        <w:kinsoku/>
        <w:wordWrap/>
        <w:overflowPunct/>
        <w:topLinePunct w:val="0"/>
        <w:bidi w:val="0"/>
        <w:adjustRightInd w:val="0"/>
        <w:snapToGrid w:val="0"/>
        <w:spacing w:line="560" w:lineRule="exact"/>
        <w:ind w:firstLine="643" w:firstLineChars="200"/>
        <w:jc w:val="left"/>
        <w:textAlignment w:val="auto"/>
        <w:outlineLvl w:val="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cs="仿宋_GB2312"/>
          <w:b/>
          <w:color w:val="auto"/>
          <w:sz w:val="32"/>
          <w:szCs w:val="32"/>
          <w:highlight w:val="none"/>
          <w:lang w:val="en-US" w:eastAsia="zh-CN"/>
        </w:rPr>
        <w:t>五</w:t>
      </w:r>
      <w:r>
        <w:rPr>
          <w:rFonts w:hint="eastAsia" w:ascii="仿宋_GB2312" w:hAnsi="仿宋_GB2312" w:eastAsia="仿宋_GB2312" w:cs="仿宋_GB2312"/>
          <w:b/>
          <w:color w:val="auto"/>
          <w:sz w:val="32"/>
          <w:szCs w:val="32"/>
          <w:highlight w:val="none"/>
        </w:rPr>
        <w:t>条  其他约定事项</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、本合同未尽事项，由甲、乙双方协商并签订书面补充合同/协议，补充合同/协议与本合同具有同等效力。</w:t>
      </w:r>
    </w:p>
    <w:p>
      <w:pPr>
        <w:keepNext w:val="0"/>
        <w:keepLines w:val="0"/>
        <w:pageBreakBefore w:val="0"/>
        <w:kinsoku/>
        <w:wordWrap/>
        <w:overflowPunct/>
        <w:topLinePunct w:val="0"/>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、本合同</w:t>
      </w:r>
      <w:r>
        <w:rPr>
          <w:rFonts w:hint="eastAsia" w:ascii="仿宋_GB2312" w:hAnsi="仿宋_GB2312" w:cs="仿宋_GB2312"/>
          <w:color w:val="auto"/>
          <w:sz w:val="32"/>
          <w:szCs w:val="32"/>
          <w:highlight w:val="none"/>
          <w:u w:val="single"/>
          <w:lang w:val="en-US" w:eastAsia="zh-CN"/>
        </w:rPr>
        <w:t xml:space="preserve"> 一</w:t>
      </w:r>
      <w:r>
        <w:rPr>
          <w:rFonts w:hint="eastAsia" w:ascii="仿宋_GB2312" w:hAnsi="仿宋_GB2312" w:eastAsia="仿宋_GB2312" w:cs="仿宋_GB2312"/>
          <w:color w:val="auto"/>
          <w:sz w:val="32"/>
          <w:szCs w:val="32"/>
          <w:highlight w:val="none"/>
          <w:u w:val="single"/>
        </w:rPr>
        <w:t>式</w:t>
      </w:r>
      <w:r>
        <w:rPr>
          <w:rFonts w:hint="eastAsia" w:ascii="仿宋_GB2312" w:hAnsi="仿宋_GB2312" w:cs="仿宋_GB2312"/>
          <w:color w:val="auto"/>
          <w:sz w:val="32"/>
          <w:szCs w:val="32"/>
          <w:highlight w:val="none"/>
          <w:u w:val="single"/>
          <w:lang w:val="en-US" w:eastAsia="zh-CN"/>
        </w:rPr>
        <w:t xml:space="preserve">捌 </w:t>
      </w:r>
      <w:r>
        <w:rPr>
          <w:rFonts w:hint="eastAsia" w:ascii="仿宋_GB2312" w:hAnsi="仿宋_GB2312" w:eastAsia="仿宋_GB2312" w:cs="仿宋_GB2312"/>
          <w:color w:val="auto"/>
          <w:sz w:val="32"/>
          <w:szCs w:val="32"/>
          <w:highlight w:val="none"/>
          <w:u w:val="none"/>
        </w:rPr>
        <w:t>份</w:t>
      </w:r>
      <w:r>
        <w:rPr>
          <w:rFonts w:hint="eastAsia" w:ascii="仿宋_GB2312" w:hAnsi="仿宋_GB2312" w:eastAsia="仿宋_GB2312" w:cs="仿宋_GB2312"/>
          <w:color w:val="auto"/>
          <w:sz w:val="32"/>
          <w:szCs w:val="32"/>
          <w:highlight w:val="none"/>
        </w:rPr>
        <w:t>，甲方执</w:t>
      </w:r>
      <w:r>
        <w:rPr>
          <w:rFonts w:hint="eastAsia" w:ascii="仿宋_GB2312" w:hAnsi="仿宋_GB2312" w:cs="仿宋_GB2312"/>
          <w:color w:val="auto"/>
          <w:sz w:val="32"/>
          <w:szCs w:val="32"/>
          <w:highlight w:val="none"/>
          <w:u w:val="single"/>
          <w:lang w:val="en-US" w:eastAsia="zh-CN"/>
        </w:rPr>
        <w:t xml:space="preserve"> 肆 </w:t>
      </w:r>
      <w:r>
        <w:rPr>
          <w:rFonts w:hint="eastAsia" w:ascii="仿宋_GB2312" w:hAnsi="仿宋_GB2312" w:eastAsia="仿宋_GB2312" w:cs="仿宋_GB2312"/>
          <w:color w:val="auto"/>
          <w:sz w:val="32"/>
          <w:szCs w:val="32"/>
          <w:highlight w:val="none"/>
          <w:u w:val="none"/>
        </w:rPr>
        <w:t>份</w:t>
      </w:r>
      <w:r>
        <w:rPr>
          <w:rFonts w:hint="eastAsia" w:ascii="仿宋_GB2312" w:hAnsi="仿宋_GB2312" w:eastAsia="仿宋_GB2312" w:cs="仿宋_GB2312"/>
          <w:color w:val="auto"/>
          <w:sz w:val="32"/>
          <w:szCs w:val="32"/>
          <w:highlight w:val="none"/>
        </w:rPr>
        <w:t>，乙方执</w:t>
      </w:r>
      <w:r>
        <w:rPr>
          <w:rFonts w:hint="eastAsia" w:ascii="仿宋_GB2312" w:hAnsi="仿宋_GB2312" w:cs="仿宋_GB2312"/>
          <w:color w:val="auto"/>
          <w:sz w:val="32"/>
          <w:szCs w:val="32"/>
          <w:highlight w:val="none"/>
          <w:u w:val="single"/>
          <w:lang w:val="en-US" w:eastAsia="zh-CN"/>
        </w:rPr>
        <w:t xml:space="preserve"> 肆 </w:t>
      </w:r>
      <w:r>
        <w:rPr>
          <w:rFonts w:hint="eastAsia" w:ascii="仿宋_GB2312" w:hAnsi="仿宋_GB2312" w:eastAsia="仿宋_GB2312" w:cs="仿宋_GB2312"/>
          <w:color w:val="auto"/>
          <w:sz w:val="32"/>
          <w:szCs w:val="32"/>
          <w:highlight w:val="none"/>
          <w:u w:val="none"/>
        </w:rPr>
        <w:t>份</w:t>
      </w:r>
      <w:r>
        <w:rPr>
          <w:rFonts w:hint="eastAsia" w:ascii="仿宋_GB2312" w:hAnsi="仿宋_GB2312" w:eastAsia="仿宋_GB2312" w:cs="仿宋_GB2312"/>
          <w:color w:val="auto"/>
          <w:sz w:val="32"/>
          <w:szCs w:val="32"/>
          <w:highlight w:val="none"/>
        </w:rPr>
        <w:t>，具有同等法律效力。本合同自甲、乙双方签字并盖公章或合同章后生效。</w:t>
      </w:r>
    </w:p>
    <w:p>
      <w:pPr>
        <w:keepNext w:val="0"/>
        <w:keepLines w:val="0"/>
        <w:kinsoku/>
        <w:wordWrap/>
        <w:overflowPunct/>
        <w:topLinePunct w:val="0"/>
        <w:bidi w:val="0"/>
        <w:spacing w:line="560" w:lineRule="exact"/>
        <w:ind w:left="0" w:leftChars="0" w:firstLine="0" w:firstLineChars="0"/>
        <w:jc w:val="left"/>
        <w:textAlignment w:val="auto"/>
        <w:rPr>
          <w:rFonts w:hint="eastAsia" w:ascii="仿宋_GB2312" w:hAnsi="仿宋_GB2312" w:cs="仿宋_GB2312"/>
          <w:color w:val="auto"/>
          <w:sz w:val="32"/>
          <w:szCs w:val="32"/>
          <w:highlight w:val="none"/>
          <w:lang w:val="en-US" w:eastAsia="zh-CN"/>
        </w:rPr>
      </w:pPr>
    </w:p>
    <w:p>
      <w:pPr>
        <w:keepNext w:val="0"/>
        <w:keepLines w:val="0"/>
        <w:kinsoku/>
        <w:wordWrap/>
        <w:overflowPunct/>
        <w:topLinePunct w:val="0"/>
        <w:bidi w:val="0"/>
        <w:spacing w:line="560" w:lineRule="exact"/>
        <w:ind w:left="0" w:leftChars="0" w:firstLine="0" w:firstLineChars="0"/>
        <w:jc w:val="left"/>
        <w:textAlignment w:val="auto"/>
        <w:rPr>
          <w:rFonts w:hint="eastAsia" w:ascii="仿宋_GB2312" w:hAnsi="仿宋_GB2312" w:cs="仿宋_GB2312"/>
          <w:color w:val="auto"/>
          <w:sz w:val="32"/>
          <w:szCs w:val="32"/>
          <w:highlight w:val="none"/>
          <w:lang w:val="en-US" w:eastAsia="zh-CN"/>
        </w:rPr>
      </w:pPr>
    </w:p>
    <w:p>
      <w:pPr>
        <w:keepNext w:val="0"/>
        <w:keepLines w:val="0"/>
        <w:kinsoku/>
        <w:wordWrap/>
        <w:overflowPunct/>
        <w:topLinePunct w:val="0"/>
        <w:bidi w:val="0"/>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（本页无正文）</w:t>
      </w:r>
      <w:r>
        <w:rPr>
          <w:rFonts w:hint="eastAsia" w:ascii="仿宋_GB2312" w:hAnsi="仿宋_GB2312" w:eastAsia="仿宋_GB2312" w:cs="仿宋_GB2312"/>
          <w:color w:val="auto"/>
          <w:sz w:val="32"/>
          <w:szCs w:val="32"/>
          <w:highlight w:val="none"/>
          <w:lang w:val="en-US" w:eastAsia="zh-CN"/>
        </w:rPr>
        <w:br w:type="page"/>
      </w:r>
    </w:p>
    <w:p>
      <w:pPr>
        <w:keepNext w:val="0"/>
        <w:keepLine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（盖章页，无正文）</w:t>
      </w:r>
    </w:p>
    <w:p>
      <w:pPr>
        <w:pStyle w:val="2"/>
        <w:keepNext w:val="0"/>
        <w:keepLine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p>
    <w:tbl>
      <w:tblPr>
        <w:tblStyle w:val="7"/>
        <w:tblpPr w:leftFromText="180" w:rightFromText="180" w:vertAnchor="text" w:horzAnchor="page" w:tblpX="1462" w:tblpY="342"/>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3827"/>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l2br w:val="single" w:color="auto" w:sz="4" w:space="0"/>
            </w:tcBorders>
            <w:vAlign w:val="center"/>
          </w:tcPr>
          <w:p>
            <w:pPr>
              <w:keepNext w:val="0"/>
              <w:keepLines w:val="0"/>
              <w:widowControl w:val="0"/>
              <w:kinsoku/>
              <w:wordWrap/>
              <w:overflowPunct/>
              <w:topLinePunct w:val="0"/>
              <w:bidi w:val="0"/>
              <w:spacing w:line="560" w:lineRule="exact"/>
              <w:ind w:firstLine="480" w:firstLineChars="200"/>
              <w:jc w:val="left"/>
              <w:textAlignment w:val="auto"/>
              <w:rPr>
                <w:rFonts w:ascii="宋体" w:hAnsi="宋体" w:eastAsia="宋体" w:cs="Times New Roman"/>
                <w:snapToGrid/>
                <w:color w:val="auto"/>
                <w:sz w:val="24"/>
                <w:szCs w:val="24"/>
                <w:highlight w:val="none"/>
                <w:lang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2" w:firstLineChars="200"/>
              <w:jc w:val="left"/>
              <w:textAlignment w:val="auto"/>
              <w:rPr>
                <w:rFonts w:hint="eastAsia" w:ascii="宋体" w:hAnsi="宋体" w:eastAsia="宋体" w:cs="Times New Roman"/>
                <w:b/>
                <w:snapToGrid/>
                <w:color w:val="auto"/>
                <w:sz w:val="24"/>
                <w:szCs w:val="24"/>
                <w:highlight w:val="none"/>
                <w:lang w:eastAsia="zh-CN"/>
              </w:rPr>
            </w:pPr>
            <w:r>
              <w:rPr>
                <w:rFonts w:hint="eastAsia" w:ascii="宋体" w:hAnsi="宋体" w:eastAsia="宋体" w:cs="Times New Roman"/>
                <w:b/>
                <w:snapToGrid/>
                <w:color w:val="auto"/>
                <w:sz w:val="24"/>
                <w:szCs w:val="24"/>
                <w:highlight w:val="none"/>
                <w:lang w:eastAsia="zh-CN"/>
              </w:rPr>
              <w:t>甲方</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2" w:firstLineChars="200"/>
              <w:jc w:val="left"/>
              <w:textAlignment w:val="auto"/>
              <w:rPr>
                <w:rFonts w:hint="eastAsia" w:ascii="宋体" w:hAnsi="宋体" w:eastAsia="宋体" w:cs="Times New Roman"/>
                <w:b/>
                <w:snapToGrid/>
                <w:color w:val="auto"/>
                <w:sz w:val="24"/>
                <w:szCs w:val="24"/>
                <w:highlight w:val="none"/>
                <w:lang w:eastAsia="zh-CN"/>
              </w:rPr>
            </w:pPr>
            <w:r>
              <w:rPr>
                <w:rFonts w:hint="eastAsia" w:ascii="宋体" w:hAnsi="宋体" w:eastAsia="宋体" w:cs="Times New Roman"/>
                <w:b/>
                <w:snapToGrid/>
                <w:color w:val="auto"/>
                <w:sz w:val="24"/>
                <w:szCs w:val="24"/>
                <w:highlight w:val="none"/>
                <w:lang w:eastAsia="zh-CN"/>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单位名称</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kern w:val="2"/>
                <w:sz w:val="24"/>
                <w:szCs w:val="24"/>
                <w:highlight w:val="none"/>
                <w:lang w:val="en-US" w:eastAsia="zh-CN" w:bidi="ar-SA"/>
              </w:rPr>
            </w:pPr>
            <w:r>
              <w:rPr>
                <w:rFonts w:hint="eastAsia" w:ascii="宋体" w:hAnsi="宋体" w:eastAsia="宋体" w:cs="Times New Roman"/>
                <w:snapToGrid/>
                <w:color w:val="auto"/>
                <w:sz w:val="24"/>
                <w:szCs w:val="24"/>
                <w:highlight w:val="none"/>
                <w:lang w:eastAsia="zh-CN"/>
              </w:rPr>
              <w:t>海垦（儋州）新型环保建材有限公司（盖章）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单位地址</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kern w:val="2"/>
                <w:sz w:val="24"/>
                <w:szCs w:val="24"/>
                <w:highlight w:val="none"/>
                <w:lang w:val="en-US" w:eastAsia="zh-CN" w:bidi="ar-SA"/>
              </w:rPr>
            </w:pPr>
            <w:r>
              <w:rPr>
                <w:rFonts w:hint="eastAsia" w:ascii="宋体" w:hAnsi="宋体" w:eastAsia="宋体"/>
                <w:snapToGrid/>
                <w:color w:val="auto"/>
                <w:sz w:val="24"/>
                <w:highlight w:val="none"/>
              </w:rPr>
              <w:t>海南省儋州市王五镇深儋合作区服务中心1-142号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电   话</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default" w:ascii="宋体" w:hAnsi="宋体" w:eastAsia="宋体" w:cs="Times New Roman"/>
                <w:snapToGrid/>
                <w:color w:val="auto"/>
                <w:kern w:val="2"/>
                <w:sz w:val="24"/>
                <w:szCs w:val="24"/>
                <w:highlight w:val="none"/>
                <w:lang w:val="en-US" w:eastAsia="zh-CN" w:bidi="ar-SA"/>
              </w:rPr>
            </w:pPr>
            <w:r>
              <w:rPr>
                <w:rFonts w:hint="eastAsia" w:ascii="宋体" w:hAnsi="宋体" w:eastAsia="宋体" w:cs="Times New Roman"/>
                <w:snapToGrid/>
                <w:color w:val="auto"/>
                <w:sz w:val="24"/>
                <w:szCs w:val="24"/>
                <w:highlight w:val="none"/>
                <w:lang w:eastAsia="zh-CN"/>
              </w:rPr>
              <w:t>0898-</w:t>
            </w:r>
            <w:r>
              <w:rPr>
                <w:rFonts w:hint="eastAsia" w:ascii="宋体" w:hAnsi="宋体" w:eastAsia="宋体" w:cs="Times New Roman"/>
                <w:snapToGrid/>
                <w:color w:val="auto"/>
                <w:sz w:val="24"/>
                <w:szCs w:val="24"/>
                <w:highlight w:val="none"/>
                <w:lang w:val="en-US" w:eastAsia="zh-CN"/>
              </w:rPr>
              <w:t>66623215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开户银行</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default" w:ascii="宋体" w:hAnsi="宋体" w:eastAsia="宋体" w:cs="Times New Roman"/>
                <w:snapToGrid/>
                <w:color w:val="auto"/>
                <w:sz w:val="24"/>
                <w:szCs w:val="24"/>
                <w:highlight w:val="none"/>
                <w:lang w:val="en-US"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kern w:val="2"/>
                <w:sz w:val="24"/>
                <w:szCs w:val="24"/>
                <w:highlight w:val="none"/>
                <w:lang w:val="en-US" w:eastAsia="zh-CN" w:bidi="ar-SA"/>
              </w:rPr>
            </w:pPr>
            <w:r>
              <w:rPr>
                <w:rFonts w:hint="eastAsia" w:ascii="宋体" w:hAnsi="宋体" w:eastAsia="宋体" w:cs="Times New Roman"/>
                <w:snapToGrid/>
                <w:color w:val="auto"/>
                <w:sz w:val="24"/>
                <w:szCs w:val="24"/>
                <w:highlight w:val="none"/>
                <w:lang w:val="en-US" w:eastAsia="zh-CN"/>
              </w:rPr>
              <w:t xml:space="preserve">海南银行股份有限公司洋浦支行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银行账号</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default" w:ascii="宋体" w:hAnsi="宋体" w:eastAsia="宋体" w:cs="Times New Roman"/>
                <w:snapToGrid/>
                <w:color w:val="auto"/>
                <w:sz w:val="24"/>
                <w:szCs w:val="24"/>
                <w:highlight w:val="none"/>
                <w:lang w:val="en-US"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kern w:val="2"/>
                <w:sz w:val="24"/>
                <w:szCs w:val="24"/>
                <w:highlight w:val="none"/>
                <w:lang w:val="en-US" w:eastAsia="zh-CN" w:bidi="ar-SA"/>
              </w:rPr>
            </w:pPr>
            <w:r>
              <w:rPr>
                <w:rFonts w:hint="eastAsia" w:ascii="宋体" w:hAnsi="宋体" w:eastAsia="宋体"/>
                <w:snapToGrid/>
                <w:color w:val="auto"/>
                <w:sz w:val="24"/>
                <w:highlight w:val="none"/>
              </w:rPr>
              <w:t>6005861100017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default" w:ascii="宋体" w:hAnsi="宋体" w:eastAsia="宋体" w:cs="Times New Roman"/>
                <w:snapToGrid/>
                <w:color w:val="auto"/>
                <w:sz w:val="24"/>
                <w:szCs w:val="24"/>
                <w:highlight w:val="none"/>
                <w:lang w:val="en-US" w:eastAsia="zh-CN"/>
              </w:rPr>
            </w:pPr>
            <w:r>
              <w:rPr>
                <w:rFonts w:hint="eastAsia" w:ascii="宋体" w:hAnsi="宋体" w:eastAsia="宋体" w:cs="Times New Roman"/>
                <w:snapToGrid/>
                <w:color w:val="auto"/>
                <w:sz w:val="24"/>
                <w:szCs w:val="24"/>
                <w:highlight w:val="none"/>
                <w:lang w:val="en-US" w:eastAsia="zh-CN"/>
              </w:rPr>
              <w:t>统一社会信用代码</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default" w:ascii="宋体" w:hAnsi="宋体" w:eastAsia="宋体" w:cs="Times New Roman"/>
                <w:snapToGrid/>
                <w:color w:val="auto"/>
                <w:sz w:val="24"/>
                <w:szCs w:val="24"/>
                <w:highlight w:val="none"/>
                <w:lang w:val="en-US" w:eastAsia="zh-CN"/>
              </w:rPr>
            </w:pP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kern w:val="2"/>
                <w:sz w:val="24"/>
                <w:szCs w:val="24"/>
                <w:highlight w:val="none"/>
                <w:lang w:val="en-US" w:eastAsia="zh-CN" w:bidi="ar-SA"/>
              </w:rPr>
            </w:pPr>
            <w:r>
              <w:rPr>
                <w:rFonts w:hint="eastAsia" w:ascii="宋体" w:hAnsi="宋体" w:eastAsia="宋体" w:cs="Times New Roman"/>
                <w:snapToGrid/>
                <w:color w:val="auto"/>
                <w:sz w:val="24"/>
                <w:szCs w:val="24"/>
                <w:highlight w:val="none"/>
                <w:lang w:val="en-US" w:eastAsia="zh-CN"/>
              </w:rPr>
              <w:t>91460400MACPTPWJ7B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法定代表人或委托代理人</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 xml:space="preserve"> </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left="0" w:leftChars="0"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签订日期</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年    月    日</w:t>
            </w:r>
          </w:p>
        </w:tc>
        <w:tc>
          <w:tcPr>
            <w:tcW w:w="382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kinsoku/>
              <w:wordWrap/>
              <w:overflowPunct/>
              <w:topLinePunct w:val="0"/>
              <w:bidi w:val="0"/>
              <w:spacing w:line="560" w:lineRule="exact"/>
              <w:ind w:firstLine="480" w:firstLineChars="200"/>
              <w:jc w:val="left"/>
              <w:textAlignment w:val="auto"/>
              <w:rPr>
                <w:rFonts w:hint="eastAsia" w:ascii="宋体" w:hAnsi="宋体" w:eastAsia="宋体" w:cs="Times New Roman"/>
                <w:snapToGrid/>
                <w:color w:val="auto"/>
                <w:sz w:val="24"/>
                <w:szCs w:val="24"/>
                <w:highlight w:val="none"/>
                <w:lang w:eastAsia="zh-CN"/>
              </w:rPr>
            </w:pPr>
            <w:r>
              <w:rPr>
                <w:rFonts w:hint="eastAsia" w:ascii="宋体" w:hAnsi="宋体" w:eastAsia="宋体" w:cs="Times New Roman"/>
                <w:snapToGrid/>
                <w:color w:val="auto"/>
                <w:sz w:val="24"/>
                <w:szCs w:val="24"/>
                <w:highlight w:val="none"/>
                <w:lang w:eastAsia="zh-CN"/>
              </w:rPr>
              <w:t>年    月    日</w:t>
            </w:r>
          </w:p>
        </w:tc>
      </w:tr>
    </w:tbl>
    <w:p>
      <w:pPr>
        <w:keepNext w:val="0"/>
        <w:keepLines w:val="0"/>
        <w:kinsoku/>
        <w:wordWrap/>
        <w:overflowPunct/>
        <w:topLinePunct w:val="0"/>
        <w:bidi w:val="0"/>
        <w:spacing w:line="560" w:lineRule="exact"/>
        <w:ind w:firstLine="420" w:firstLineChars="200"/>
        <w:jc w:val="left"/>
        <w:textAlignment w:val="auto"/>
        <w:rPr>
          <w:rFonts w:hint="eastAsia" w:ascii="仿宋_GB2312" w:hAnsi="仿宋_GB2312" w:eastAsia="仿宋_GB2312" w:cs="仿宋_GB2312"/>
          <w:color w:val="auto"/>
          <w:sz w:val="32"/>
          <w:szCs w:val="32"/>
          <w:highlight w:val="none"/>
        </w:rPr>
      </w:pPr>
      <w:r>
        <w:rPr>
          <w:rFonts w:ascii="宋体" w:hAnsi="宋体" w:eastAsia="宋体" w:cs="Times New Roman"/>
          <w:color w:val="auto"/>
          <w:sz w:val="21"/>
          <w:szCs w:val="21"/>
          <w:highlight w:val="none"/>
        </w:rPr>
        <w:br w:type="page"/>
      </w:r>
      <w:r>
        <w:rPr>
          <w:rFonts w:hint="eastAsia" w:ascii="仿宋_GB2312" w:hAnsi="仿宋_GB2312" w:eastAsia="仿宋_GB2312" w:cs="仿宋_GB2312"/>
          <w:b/>
          <w:bCs/>
          <w:color w:val="auto"/>
          <w:sz w:val="32"/>
          <w:szCs w:val="32"/>
          <w:highlight w:val="none"/>
        </w:rPr>
        <w:t>附件1：</w:t>
      </w:r>
    </w:p>
    <w:p>
      <w:pPr>
        <w:keepNext w:val="0"/>
        <w:keepLines w:val="0"/>
        <w:kinsoku/>
        <w:wordWrap/>
        <w:overflowPunct/>
        <w:topLinePunct w:val="0"/>
        <w:bidi w:val="0"/>
        <w:spacing w:line="560" w:lineRule="exact"/>
        <w:ind w:firstLine="602" w:firstLineChars="200"/>
        <w:jc w:val="left"/>
        <w:textAlignment w:val="auto"/>
        <w:rPr>
          <w:rFonts w:ascii="宋体" w:hAnsi="宋体" w:eastAsia="宋体" w:cs="Times New Roman"/>
          <w:b/>
          <w:bCs/>
          <w:color w:val="auto"/>
          <w:sz w:val="30"/>
          <w:szCs w:val="30"/>
          <w:highlight w:val="none"/>
        </w:rPr>
      </w:pPr>
      <w:r>
        <w:rPr>
          <w:rFonts w:hint="eastAsia" w:ascii="仿宋_GB2312" w:hAnsi="仿宋_GB2312" w:eastAsia="仿宋_GB2312" w:cs="仿宋_GB2312"/>
          <w:b/>
          <w:bCs/>
          <w:color w:val="auto"/>
          <w:sz w:val="30"/>
          <w:szCs w:val="30"/>
          <w:highlight w:val="none"/>
          <w:lang w:val="en-US" w:eastAsia="zh-CN"/>
        </w:rPr>
        <w:t>甲</w:t>
      </w:r>
      <w:r>
        <w:rPr>
          <w:rFonts w:hint="eastAsia" w:ascii="仿宋_GB2312" w:hAnsi="仿宋_GB2312" w:eastAsia="仿宋_GB2312" w:cs="仿宋_GB2312"/>
          <w:b/>
          <w:bCs/>
          <w:color w:val="auto"/>
          <w:sz w:val="30"/>
          <w:szCs w:val="30"/>
          <w:highlight w:val="none"/>
        </w:rPr>
        <w:t>乙</w:t>
      </w:r>
      <w:r>
        <w:rPr>
          <w:rFonts w:hint="eastAsia" w:ascii="仿宋_GB2312" w:hAnsi="仿宋_GB2312" w:eastAsia="仿宋_GB2312" w:cs="仿宋_GB2312"/>
          <w:b/>
          <w:bCs/>
          <w:color w:val="auto"/>
          <w:sz w:val="30"/>
          <w:szCs w:val="30"/>
          <w:highlight w:val="none"/>
          <w:lang w:val="en-US" w:eastAsia="zh-CN"/>
        </w:rPr>
        <w:t>双方</w:t>
      </w:r>
      <w:r>
        <w:rPr>
          <w:rFonts w:hint="eastAsia" w:ascii="仿宋_GB2312" w:hAnsi="仿宋_GB2312" w:eastAsia="仿宋_GB2312" w:cs="仿宋_GB2312"/>
          <w:b/>
          <w:bCs/>
          <w:color w:val="auto"/>
          <w:sz w:val="30"/>
          <w:szCs w:val="30"/>
          <w:highlight w:val="none"/>
        </w:rPr>
        <w:t>方授权业务经办人联系卡</w:t>
      </w:r>
    </w:p>
    <w:tbl>
      <w:tblPr>
        <w:tblStyle w:val="6"/>
        <w:tblpPr w:leftFromText="180" w:rightFromText="180" w:vertAnchor="text" w:horzAnchor="margin" w:tblpXSpec="center" w:tblpY="4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    方：</w:t>
            </w:r>
          </w:p>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sz w:val="21"/>
                <w:szCs w:val="21"/>
                <w:highlight w:val="none"/>
              </w:rPr>
            </w:pPr>
            <w:r>
              <w:rPr>
                <w:rFonts w:hint="eastAsia" w:ascii="宋体" w:hAnsi="宋体" w:eastAsia="宋体" w:cs="宋体"/>
                <w:color w:val="auto"/>
                <w:kern w:val="0"/>
                <w:sz w:val="21"/>
                <w:szCs w:val="21"/>
                <w:highlight w:val="none"/>
              </w:rPr>
              <w:t>开户银行：</w:t>
            </w:r>
          </w:p>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    号：</w:t>
            </w:r>
          </w:p>
        </w:tc>
        <w:tc>
          <w:tcPr>
            <w:tcW w:w="4979" w:type="dxa"/>
            <w:tcBorders>
              <w:top w:val="single" w:color="auto" w:sz="4" w:space="0"/>
              <w:left w:val="single" w:color="auto" w:sz="4" w:space="0"/>
              <w:right w:val="single" w:color="auto" w:sz="4" w:space="0"/>
            </w:tcBorders>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乙 </w:t>
            </w:r>
            <w:r>
              <w:rPr>
                <w:rFonts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方：</w:t>
            </w:r>
            <w:r>
              <w:rPr>
                <w:rFonts w:hint="eastAsia" w:ascii="宋体" w:hAnsi="宋体" w:eastAsia="宋体" w:cs="Times New Roman"/>
                <w:snapToGrid/>
                <w:color w:val="auto"/>
                <w:sz w:val="24"/>
                <w:szCs w:val="24"/>
                <w:highlight w:val="none"/>
                <w:lang w:eastAsia="zh-CN"/>
              </w:rPr>
              <w:t>海垦（儋州）新型环保建材有限公司</w:t>
            </w:r>
          </w:p>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r>
              <w:rPr>
                <w:rFonts w:hint="eastAsia" w:ascii="宋体" w:hAnsi="宋体" w:eastAsia="宋体"/>
                <w:color w:val="auto"/>
                <w:sz w:val="24"/>
                <w:highlight w:val="none"/>
              </w:rPr>
              <w:t xml:space="preserve">海南银行股份有限公司洋浦支行 </w:t>
            </w:r>
          </w:p>
          <w:p>
            <w:pPr>
              <w:keepNext w:val="0"/>
              <w:keepLines w:val="0"/>
              <w:widowControl/>
              <w:kinsoku/>
              <w:wordWrap/>
              <w:overflowPunct/>
              <w:topLinePunct w:val="0"/>
              <w:bidi w:val="0"/>
              <w:spacing w:line="560" w:lineRule="exact"/>
              <w:ind w:firstLine="420" w:firstLineChars="200"/>
              <w:jc w:val="left"/>
              <w:textAlignment w:val="auto"/>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 xml:space="preserve">账 </w:t>
            </w:r>
            <w:r>
              <w:rPr>
                <w:rFonts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号：</w:t>
            </w:r>
            <w:r>
              <w:rPr>
                <w:rFonts w:hint="eastAsia" w:ascii="宋体" w:hAnsi="宋体" w:eastAsia="宋体"/>
                <w:color w:val="auto"/>
                <w:sz w:val="24"/>
                <w:highlight w:val="none"/>
              </w:rPr>
              <w:t>6005861100017</w:t>
            </w:r>
            <w:r>
              <w:rPr>
                <w:rFonts w:hint="eastAsia" w:ascii="宋体" w:hAnsi="宋体" w:eastAsia="宋体" w:cs="Times New Roman"/>
                <w:snapToGrid/>
                <w:color w:val="auto"/>
                <w:sz w:val="24"/>
                <w:szCs w:val="24"/>
                <w:highlight w:val="none"/>
                <w:lang w:val="en-US" w:eastAsia="zh-CN"/>
              </w:rPr>
              <w:t xml:space="preserve"> </w:t>
            </w:r>
          </w:p>
          <w:p>
            <w:pPr>
              <w:keepNext w:val="0"/>
              <w:keepLines w:val="0"/>
              <w:kinsoku/>
              <w:wordWrap/>
              <w:overflowPunct/>
              <w:topLinePunct w:val="0"/>
              <w:bidi w:val="0"/>
              <w:spacing w:line="560" w:lineRule="exact"/>
              <w:ind w:firstLine="420" w:firstLineChars="200"/>
              <w:jc w:val="left"/>
              <w:textAlignment w:val="auto"/>
              <w:rPr>
                <w:rFonts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5098" w:type="dxa"/>
            <w:tcBorders>
              <w:top w:val="single" w:color="auto" w:sz="4" w:space="0"/>
              <w:left w:val="single" w:color="auto" w:sz="4" w:space="0"/>
              <w:bottom w:val="single" w:color="auto" w:sz="4" w:space="0"/>
              <w:right w:val="single" w:color="auto" w:sz="4" w:space="0"/>
            </w:tcBorders>
            <w:noWrap w:val="0"/>
            <w:vAlign w:val="top"/>
          </w:tcPr>
          <w:p>
            <w:pPr>
              <w:keepNext w:val="0"/>
              <w:keepLines w:val="0"/>
              <w:kinsoku/>
              <w:wordWrap/>
              <w:overflowPunct/>
              <w:topLinePunct w:val="0"/>
              <w:bidi w:val="0"/>
              <w:spacing w:line="560" w:lineRule="exact"/>
              <w:ind w:firstLine="422" w:firstLineChars="200"/>
              <w:jc w:val="left"/>
              <w:textAlignment w:val="auto"/>
              <w:rPr>
                <w:rFonts w:ascii="宋体" w:hAnsi="宋体" w:eastAsia="宋体" w:cs="Times New Roman"/>
                <w:b/>
                <w:bCs/>
                <w:color w:val="auto"/>
                <w:sz w:val="21"/>
                <w:szCs w:val="21"/>
                <w:highlight w:val="none"/>
              </w:rPr>
            </w:pPr>
            <w:r>
              <w:rPr>
                <w:rFonts w:hint="eastAsia" w:ascii="宋体" w:hAnsi="宋体" w:eastAsia="宋体" w:cs="Times New Roman"/>
                <w:b/>
                <w:bCs/>
                <w:color w:val="auto"/>
                <w:sz w:val="21"/>
                <w:szCs w:val="21"/>
                <w:highlight w:val="none"/>
              </w:rPr>
              <w:t>法定代表人/授权代表（签字）：</w:t>
            </w:r>
          </w:p>
        </w:tc>
        <w:tc>
          <w:tcPr>
            <w:tcW w:w="497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kinsoku/>
              <w:wordWrap/>
              <w:overflowPunct/>
              <w:topLinePunct w:val="0"/>
              <w:bidi w:val="0"/>
              <w:spacing w:line="560" w:lineRule="exact"/>
              <w:ind w:firstLine="422" w:firstLineChars="200"/>
              <w:jc w:val="left"/>
              <w:textAlignment w:val="auto"/>
              <w:rPr>
                <w:rFonts w:ascii="宋体" w:hAnsi="宋体" w:eastAsia="宋体" w:cs="宋体"/>
                <w:b/>
                <w:bCs/>
                <w:color w:val="auto"/>
                <w:kern w:val="0"/>
                <w:sz w:val="21"/>
                <w:szCs w:val="21"/>
                <w:highlight w:val="none"/>
              </w:rPr>
            </w:pPr>
            <w:r>
              <w:rPr>
                <w:rFonts w:hint="eastAsia" w:ascii="宋体" w:hAnsi="宋体" w:eastAsia="宋体" w:cs="Times New Roman"/>
                <w:b/>
                <w:bCs/>
                <w:color w:val="auto"/>
                <w:sz w:val="21"/>
                <w:szCs w:val="21"/>
                <w:highlight w:val="none"/>
              </w:rPr>
              <w:t xml:space="preserve">法定代表人/授权代表（签字）：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077"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kinsoku/>
              <w:wordWrap/>
              <w:overflowPunct/>
              <w:topLinePunct w:val="0"/>
              <w:bidi w:val="0"/>
              <w:spacing w:line="560" w:lineRule="exact"/>
              <w:ind w:firstLine="420" w:firstLineChars="200"/>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ascii="宋体" w:hAnsi="宋体" w:eastAsia="宋体" w:cs="宋体"/>
                <w:color w:val="auto"/>
                <w:sz w:val="21"/>
                <w:szCs w:val="21"/>
                <w:highlight w:val="none"/>
              </w:rPr>
              <w:t>20</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tc>
      </w:tr>
    </w:tbl>
    <w:p>
      <w:pPr>
        <w:keepNext w:val="0"/>
        <w:keepLines w:val="0"/>
        <w:kinsoku/>
        <w:wordWrap/>
        <w:overflowPunct/>
        <w:topLinePunct w:val="0"/>
        <w:bidi w:val="0"/>
        <w:spacing w:line="560" w:lineRule="exact"/>
        <w:ind w:firstLine="420" w:firstLineChars="200"/>
        <w:jc w:val="left"/>
        <w:textAlignment w:val="auto"/>
        <w:rPr>
          <w:rFonts w:ascii="宋体" w:hAnsi="宋体" w:eastAsia="宋体" w:cs="宋体"/>
          <w:color w:val="auto"/>
          <w:sz w:val="21"/>
          <w:szCs w:val="21"/>
          <w:highlight w:val="none"/>
        </w:rPr>
      </w:pPr>
    </w:p>
    <w:p>
      <w:pPr>
        <w:keepNext w:val="0"/>
        <w:keepLines w:val="0"/>
        <w:pageBreakBefore/>
        <w:kinsoku/>
        <w:wordWrap/>
        <w:overflowPunct/>
        <w:topLinePunct w:val="0"/>
        <w:bidi w:val="0"/>
        <w:spacing w:line="560" w:lineRule="exact"/>
        <w:ind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附件</w:t>
      </w:r>
      <w:r>
        <w:rPr>
          <w:rFonts w:hint="eastAsia" w:ascii="仿宋_GB2312" w:hAnsi="仿宋_GB2312" w:eastAsia="仿宋_GB2312" w:cs="仿宋_GB2312"/>
          <w:b/>
          <w:color w:val="auto"/>
          <w:sz w:val="32"/>
          <w:szCs w:val="32"/>
          <w:highlight w:val="none"/>
          <w:lang w:val="en-US" w:eastAsia="zh-CN"/>
        </w:rPr>
        <w:t>2</w:t>
      </w:r>
    </w:p>
    <w:p>
      <w:pPr>
        <w:keepNext w:val="0"/>
        <w:keepLines w:val="0"/>
        <w:kinsoku/>
        <w:wordWrap/>
        <w:overflowPunct/>
        <w:topLinePunct w:val="0"/>
        <w:bidi w:val="0"/>
        <w:spacing w:line="560" w:lineRule="exact"/>
        <w:ind w:firstLine="643" w:firstLineChars="200"/>
        <w:jc w:val="left"/>
        <w:textAlignment w:val="auto"/>
        <w:rPr>
          <w:rFonts w:ascii="宋体" w:hAnsi="宋体" w:eastAsia="宋体" w:cs="Times New Roman"/>
          <w:b/>
          <w:color w:val="auto"/>
          <w:sz w:val="32"/>
          <w:szCs w:val="32"/>
          <w:highlight w:val="none"/>
        </w:rPr>
      </w:pPr>
      <w:r>
        <w:rPr>
          <w:rFonts w:hint="eastAsia" w:ascii="仿宋_GB2312" w:hAnsi="仿宋_GB2312" w:eastAsia="仿宋_GB2312" w:cs="仿宋_GB2312"/>
          <w:b/>
          <w:color w:val="auto"/>
          <w:sz w:val="32"/>
          <w:szCs w:val="32"/>
          <w:highlight w:val="none"/>
        </w:rPr>
        <w:t>授权业务经办人员联系卡</w:t>
      </w:r>
    </w:p>
    <w:tbl>
      <w:tblPr>
        <w:tblStyle w:val="6"/>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218"/>
        <w:gridCol w:w="1654"/>
        <w:gridCol w:w="1701"/>
        <w:gridCol w:w="2788"/>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06" w:type="dxa"/>
            <w:noWrap w:val="0"/>
            <w:vAlign w:val="center"/>
          </w:tcPr>
          <w:p>
            <w:pPr>
              <w:keepNext w:val="0"/>
              <w:keepLines w:val="0"/>
              <w:widowControl/>
              <w:kinsoku/>
              <w:wordWrap/>
              <w:overflowPunct/>
              <w:topLinePunct w:val="0"/>
              <w:bidi w:val="0"/>
              <w:spacing w:line="560" w:lineRule="exact"/>
              <w:ind w:left="-735" w:leftChars="-245" w:firstLine="420" w:firstLineChars="200"/>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职务</w:t>
            </w:r>
          </w:p>
        </w:tc>
        <w:tc>
          <w:tcPr>
            <w:tcW w:w="1218"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姓名</w:t>
            </w:r>
          </w:p>
        </w:tc>
        <w:tc>
          <w:tcPr>
            <w:tcW w:w="1654"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电话</w:t>
            </w:r>
          </w:p>
        </w:tc>
        <w:tc>
          <w:tcPr>
            <w:tcW w:w="1701"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邮箱地址</w:t>
            </w:r>
          </w:p>
        </w:tc>
        <w:tc>
          <w:tcPr>
            <w:tcW w:w="2788"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身份证号码</w:t>
            </w:r>
          </w:p>
        </w:tc>
        <w:tc>
          <w:tcPr>
            <w:tcW w:w="1612"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签名并按手印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rPr>
              <w:t>调价函接收/签认人</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甲方</w:t>
            </w:r>
            <w:r>
              <w:rPr>
                <w:rFonts w:hint="eastAsia" w:ascii="宋体" w:hAnsi="宋体" w:eastAsia="宋体" w:cs="Times New Roman"/>
                <w:color w:val="auto"/>
                <w:kern w:val="0"/>
                <w:sz w:val="21"/>
                <w:szCs w:val="21"/>
                <w:highlight w:val="none"/>
                <w:lang w:eastAsia="zh-CN"/>
              </w:rPr>
              <w:t>）</w:t>
            </w:r>
          </w:p>
        </w:tc>
        <w:tc>
          <w:tcPr>
            <w:tcW w:w="1218"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54"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701"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2788"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12"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rPr>
              <w:t>合同及补充协议授权签订人</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甲方</w:t>
            </w:r>
            <w:r>
              <w:rPr>
                <w:rFonts w:hint="eastAsia" w:ascii="宋体" w:hAnsi="宋体" w:eastAsia="宋体" w:cs="Times New Roman"/>
                <w:color w:val="auto"/>
                <w:kern w:val="0"/>
                <w:sz w:val="21"/>
                <w:szCs w:val="21"/>
                <w:highlight w:val="none"/>
                <w:lang w:eastAsia="zh-CN"/>
              </w:rPr>
              <w:t>）</w:t>
            </w:r>
          </w:p>
        </w:tc>
        <w:tc>
          <w:tcPr>
            <w:tcW w:w="1218"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54"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701"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2788"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12"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调价函接收/签认人</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乙方</w:t>
            </w:r>
            <w:r>
              <w:rPr>
                <w:rFonts w:hint="eastAsia" w:ascii="宋体" w:hAnsi="宋体" w:eastAsia="宋体" w:cs="Times New Roman"/>
                <w:color w:val="auto"/>
                <w:kern w:val="0"/>
                <w:sz w:val="21"/>
                <w:szCs w:val="21"/>
                <w:highlight w:val="none"/>
                <w:lang w:eastAsia="zh-CN"/>
              </w:rPr>
              <w:t>）</w:t>
            </w:r>
          </w:p>
        </w:tc>
        <w:tc>
          <w:tcPr>
            <w:tcW w:w="1218"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54"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701"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2788"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12"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合同及补充协议授权签订人</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乙方</w:t>
            </w:r>
            <w:r>
              <w:rPr>
                <w:rFonts w:hint="eastAsia" w:ascii="宋体" w:hAnsi="宋体" w:eastAsia="宋体" w:cs="Times New Roman"/>
                <w:color w:val="auto"/>
                <w:kern w:val="0"/>
                <w:sz w:val="21"/>
                <w:szCs w:val="21"/>
                <w:highlight w:val="none"/>
                <w:lang w:eastAsia="zh-CN"/>
              </w:rPr>
              <w:t>）</w:t>
            </w:r>
          </w:p>
        </w:tc>
        <w:tc>
          <w:tcPr>
            <w:tcW w:w="1218"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54"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701"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2788"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12"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06"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218"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54"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701"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2788"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c>
          <w:tcPr>
            <w:tcW w:w="1612" w:type="dxa"/>
            <w:noWrap w:val="0"/>
            <w:vAlign w:val="center"/>
          </w:tcPr>
          <w:p>
            <w:pPr>
              <w:keepNext w:val="0"/>
              <w:keepLines w:val="0"/>
              <w:widowControl/>
              <w:kinsoku/>
              <w:wordWrap/>
              <w:overflowPunct/>
              <w:topLinePunct w:val="0"/>
              <w:bidi w:val="0"/>
              <w:spacing w:line="560" w:lineRule="exact"/>
              <w:ind w:firstLine="420" w:firstLineChars="200"/>
              <w:jc w:val="left"/>
              <w:textAlignment w:val="auto"/>
              <w:rPr>
                <w:rFonts w:ascii="宋体" w:hAnsi="宋体" w:eastAsia="宋体" w:cs="Times New Roman"/>
                <w:color w:val="auto"/>
                <w:kern w:val="0"/>
                <w:sz w:val="21"/>
                <w:szCs w:val="21"/>
                <w:highlight w:val="none"/>
              </w:rPr>
            </w:pPr>
          </w:p>
        </w:tc>
      </w:tr>
    </w:tbl>
    <w:p>
      <w:pPr>
        <w:keepNext w:val="0"/>
        <w:keepLines w:val="0"/>
        <w:kinsoku/>
        <w:wordWrap/>
        <w:overflowPunct/>
        <w:topLinePunct w:val="0"/>
        <w:bidi w:val="0"/>
        <w:spacing w:line="560" w:lineRule="exact"/>
        <w:ind w:firstLine="420" w:firstLineChars="200"/>
        <w:jc w:val="left"/>
        <w:textAlignment w:val="auto"/>
        <w:rPr>
          <w:rFonts w:ascii="宋体" w:hAnsi="宋体" w:eastAsia="宋体" w:cs="Times New Roman"/>
          <w:color w:val="auto"/>
          <w:sz w:val="21"/>
          <w:szCs w:val="21"/>
          <w:highlight w:val="none"/>
        </w:rPr>
      </w:pPr>
    </w:p>
    <w:p>
      <w:pPr>
        <w:keepNext w:val="0"/>
        <w:keepLines w:val="0"/>
        <w:kinsoku/>
        <w:wordWrap/>
        <w:overflowPunct/>
        <w:topLinePunct w:val="0"/>
        <w:bidi w:val="0"/>
        <w:spacing w:line="560" w:lineRule="exact"/>
        <w:ind w:firstLine="420" w:firstLineChars="200"/>
        <w:jc w:val="left"/>
        <w:textAlignment w:val="auto"/>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 xml:space="preserve">        </w:t>
      </w:r>
    </w:p>
    <w:p>
      <w:pPr>
        <w:keepNext w:val="0"/>
        <w:keepLines w:val="0"/>
        <w:kinsoku/>
        <w:wordWrap/>
        <w:overflowPunct/>
        <w:topLinePunct w:val="0"/>
        <w:bidi w:val="0"/>
        <w:spacing w:line="560" w:lineRule="exact"/>
        <w:ind w:firstLine="420" w:firstLineChars="200"/>
        <w:jc w:val="left"/>
        <w:textAlignment w:val="auto"/>
        <w:rPr>
          <w:rFonts w:ascii="宋体" w:hAnsi="宋体" w:eastAsia="宋体" w:cs="Times New Roman"/>
          <w:color w:val="auto"/>
          <w:sz w:val="21"/>
          <w:szCs w:val="21"/>
          <w:highlight w:val="none"/>
        </w:rPr>
      </w:pPr>
    </w:p>
    <w:p>
      <w:pPr>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br w:type="page"/>
      </w:r>
    </w:p>
    <w:p>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 xml:space="preserve"> </w:t>
      </w:r>
    </w:p>
    <w:p>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cs="仿宋_GB2312"/>
          <w:color w:val="auto"/>
          <w:sz w:val="32"/>
          <w:szCs w:val="32"/>
          <w:highlight w:val="none"/>
          <w:lang w:val="en-US" w:eastAsia="zh-CN"/>
        </w:rPr>
      </w:pPr>
    </w:p>
    <w:p>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cs="仿宋_GB2312"/>
          <w:color w:val="auto"/>
          <w:sz w:val="32"/>
          <w:szCs w:val="32"/>
          <w:highlight w:val="none"/>
          <w:lang w:val="en-US" w:eastAsia="zh-CN"/>
        </w:rPr>
        <w:t>甲</w:t>
      </w:r>
      <w:r>
        <w:rPr>
          <w:rFonts w:hint="eastAsia" w:ascii="仿宋_GB2312" w:hAnsi="仿宋_GB2312" w:eastAsia="仿宋_GB2312" w:cs="仿宋_GB2312"/>
          <w:color w:val="auto"/>
          <w:sz w:val="32"/>
          <w:szCs w:val="32"/>
          <w:highlight w:val="none"/>
        </w:rPr>
        <w:t xml:space="preserve">方：（加盖公章） </w:t>
      </w:r>
    </w:p>
    <w:p>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eastAsia="仿宋_GB2312" w:cs="仿宋_GB2312"/>
          <w:color w:val="auto"/>
          <w:sz w:val="32"/>
          <w:szCs w:val="32"/>
          <w:highlight w:val="none"/>
        </w:rPr>
      </w:pPr>
    </w:p>
    <w:p>
      <w:pPr>
        <w:keepNext w:val="0"/>
        <w:keepLines w:val="0"/>
        <w:kinsoku/>
        <w:wordWrap/>
        <w:overflowPunct/>
        <w:topLinePunct w:val="0"/>
        <w:bidi w:val="0"/>
        <w:spacing w:line="560" w:lineRule="exact"/>
        <w:ind w:right="21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授权期限：20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日至20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keepNext w:val="0"/>
        <w:keepLines w:val="0"/>
        <w:kinsoku/>
        <w:wordWrap/>
        <w:overflowPunct/>
        <w:topLinePunct w:val="0"/>
        <w:bidi w:val="0"/>
        <w:spacing w:line="560" w:lineRule="exact"/>
        <w:ind w:firstLine="420" w:firstLineChars="200"/>
        <w:jc w:val="right"/>
        <w:textAlignment w:val="auto"/>
        <w:rPr>
          <w:rFonts w:ascii="宋体" w:hAnsi="宋体" w:eastAsia="宋体" w:cs="Times New Roman"/>
          <w:color w:val="auto"/>
          <w:sz w:val="21"/>
          <w:szCs w:val="21"/>
          <w:highlight w:val="none"/>
        </w:rPr>
      </w:pPr>
    </w:p>
    <w:p>
      <w:pPr>
        <w:keepNext w:val="0"/>
        <w:keepLines w:val="0"/>
        <w:kinsoku/>
        <w:wordWrap/>
        <w:overflowPunct/>
        <w:topLinePunct w:val="0"/>
        <w:bidi w:val="0"/>
        <w:spacing w:line="560" w:lineRule="exact"/>
        <w:ind w:firstLine="420" w:firstLineChars="200"/>
        <w:jc w:val="right"/>
        <w:textAlignment w:val="auto"/>
        <w:rPr>
          <w:rFonts w:ascii="宋体" w:hAnsi="宋体" w:eastAsia="宋体" w:cs="Times New Roman"/>
          <w:color w:val="auto"/>
          <w:sz w:val="21"/>
          <w:szCs w:val="21"/>
          <w:highlight w:val="none"/>
        </w:rPr>
      </w:pPr>
    </w:p>
    <w:p>
      <w:pPr>
        <w:keepNext w:val="0"/>
        <w:keepLines w:val="0"/>
        <w:kinsoku/>
        <w:wordWrap/>
        <w:overflowPunct/>
        <w:topLinePunct w:val="0"/>
        <w:bidi w:val="0"/>
        <w:spacing w:line="560" w:lineRule="exact"/>
        <w:ind w:firstLine="420" w:firstLineChars="200"/>
        <w:jc w:val="right"/>
        <w:textAlignment w:val="auto"/>
        <w:rPr>
          <w:rFonts w:ascii="宋体" w:hAnsi="宋体" w:eastAsia="宋体" w:cs="Times New Roman"/>
          <w:color w:val="auto"/>
          <w:sz w:val="21"/>
          <w:szCs w:val="21"/>
          <w:highlight w:val="none"/>
        </w:rPr>
      </w:pPr>
    </w:p>
    <w:p>
      <w:pPr>
        <w:keepNext w:val="0"/>
        <w:keepLines w:val="0"/>
        <w:kinsoku/>
        <w:wordWrap/>
        <w:overflowPunct/>
        <w:topLinePunct w:val="0"/>
        <w:bidi w:val="0"/>
        <w:spacing w:line="560" w:lineRule="exact"/>
        <w:ind w:firstLine="420" w:firstLineChars="200"/>
        <w:jc w:val="right"/>
        <w:textAlignment w:val="auto"/>
        <w:rPr>
          <w:rFonts w:ascii="宋体" w:hAnsi="宋体" w:eastAsia="宋体" w:cs="Times New Roman"/>
          <w:color w:val="auto"/>
          <w:sz w:val="21"/>
          <w:szCs w:val="21"/>
          <w:highlight w:val="none"/>
        </w:rPr>
      </w:pPr>
    </w:p>
    <w:p>
      <w:pPr>
        <w:keepNext w:val="0"/>
        <w:keepLines w:val="0"/>
        <w:kinsoku/>
        <w:wordWrap/>
        <w:overflowPunct/>
        <w:topLinePunct w:val="0"/>
        <w:bidi w:val="0"/>
        <w:spacing w:line="560" w:lineRule="exact"/>
        <w:ind w:firstLine="420" w:firstLineChars="200"/>
        <w:jc w:val="right"/>
        <w:textAlignment w:val="auto"/>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 xml:space="preserve">                                     </w:t>
      </w:r>
    </w:p>
    <w:p>
      <w:pPr>
        <w:keepNext w:val="0"/>
        <w:keepLines w:val="0"/>
        <w:kinsoku/>
        <w:wordWrap/>
        <w:overflowPunct/>
        <w:topLinePunct w:val="0"/>
        <w:bidi w:val="0"/>
        <w:spacing w:line="560" w:lineRule="exact"/>
        <w:ind w:firstLine="420" w:firstLineChars="200"/>
        <w:jc w:val="right"/>
        <w:textAlignment w:val="auto"/>
        <w:rPr>
          <w:rFonts w:hint="eastAsia" w:ascii="仿宋_GB2312" w:hAnsi="仿宋_GB2312" w:eastAsia="仿宋_GB2312" w:cs="仿宋_GB2312"/>
          <w:color w:val="auto"/>
          <w:sz w:val="32"/>
          <w:szCs w:val="32"/>
          <w:highlight w:val="none"/>
          <w:u w:val="single"/>
        </w:rPr>
      </w:pPr>
      <w:r>
        <w:rPr>
          <w:rFonts w:ascii="宋体" w:hAnsi="宋体" w:eastAsia="宋体" w:cs="Times New Roman"/>
          <w:color w:val="auto"/>
          <w:sz w:val="21"/>
          <w:szCs w:val="21"/>
          <w:highlight w:val="none"/>
        </w:rPr>
        <w:t xml:space="preserve">      </w:t>
      </w:r>
      <w:r>
        <w:rPr>
          <w:rFonts w:hint="eastAsia" w:ascii="宋体" w:hAnsi="宋体" w:eastAsia="宋体" w:cs="Times New Roman"/>
          <w:color w:val="auto"/>
          <w:sz w:val="21"/>
          <w:szCs w:val="21"/>
          <w:highlight w:val="none"/>
        </w:rPr>
        <w:t xml:space="preserve">       </w:t>
      </w:r>
      <w:r>
        <w:rPr>
          <w:rFonts w:ascii="宋体" w:hAnsi="宋体" w:eastAsia="宋体" w:cs="Times New Roman"/>
          <w:color w:val="auto"/>
          <w:sz w:val="21"/>
          <w:szCs w:val="21"/>
          <w:highlight w:val="none"/>
        </w:rPr>
        <w:t xml:space="preserve">         </w:t>
      </w:r>
      <w:r>
        <w:rPr>
          <w:rFonts w:hint="eastAsia" w:ascii="仿宋_GB2312" w:hAnsi="仿宋_GB2312" w:eastAsia="仿宋_GB2312" w:cs="仿宋_GB2312"/>
          <w:color w:val="auto"/>
          <w:sz w:val="32"/>
          <w:szCs w:val="32"/>
          <w:highlight w:val="none"/>
        </w:rPr>
        <w:t xml:space="preserve">  乙方：（加盖公章） </w:t>
      </w:r>
    </w:p>
    <w:p>
      <w:pPr>
        <w:keepNext w:val="0"/>
        <w:keepLines w:val="0"/>
        <w:kinsoku/>
        <w:wordWrap/>
        <w:overflowPunct/>
        <w:topLinePunct w:val="0"/>
        <w:bidi w:val="0"/>
        <w:spacing w:line="560" w:lineRule="exact"/>
        <w:ind w:firstLine="640" w:firstLineChars="200"/>
        <w:jc w:val="right"/>
        <w:textAlignment w:val="auto"/>
        <w:rPr>
          <w:rFonts w:hint="eastAsia" w:ascii="仿宋_GB2312" w:hAnsi="仿宋_GB2312" w:eastAsia="仿宋_GB2312" w:cs="仿宋_GB2312"/>
          <w:color w:val="auto"/>
          <w:sz w:val="32"/>
          <w:szCs w:val="32"/>
          <w:highlight w:val="none"/>
        </w:rPr>
      </w:pPr>
    </w:p>
    <w:p>
      <w:pPr>
        <w:keepNext w:val="0"/>
        <w:keepLines w:val="0"/>
        <w:kinsoku/>
        <w:wordWrap/>
        <w:overflowPunct/>
        <w:topLinePunct w:val="0"/>
        <w:bidi w:val="0"/>
        <w:spacing w:line="560" w:lineRule="exact"/>
        <w:ind w:right="21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授权期限：20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日至20</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pPr>
        <w:widowControl w:val="0"/>
        <w:spacing w:line="276" w:lineRule="auto"/>
        <w:jc w:val="right"/>
        <w:rPr>
          <w:rFonts w:ascii="宋体" w:hAnsi="宋体" w:eastAsia="宋体" w:cs="Times New Roman"/>
          <w:color w:val="auto"/>
          <w:kern w:val="2"/>
          <w:sz w:val="21"/>
          <w:szCs w:val="21"/>
          <w:highlight w:val="none"/>
          <w:lang w:val="en-US" w:eastAsia="zh-CN" w:bidi="ar-SA"/>
        </w:rPr>
      </w:pPr>
    </w:p>
    <w:p>
      <w:pPr>
        <w:widowControl w:val="0"/>
        <w:spacing w:line="276" w:lineRule="auto"/>
        <w:jc w:val="right"/>
        <w:rPr>
          <w:rFonts w:ascii="宋体" w:hAnsi="宋体" w:eastAsia="宋体" w:cs="Times New Roman"/>
          <w:color w:val="auto"/>
          <w:kern w:val="2"/>
          <w:sz w:val="21"/>
          <w:szCs w:val="21"/>
          <w:highlight w:val="none"/>
          <w:lang w:val="en-US" w:eastAsia="zh-CN" w:bidi="ar-SA"/>
        </w:rPr>
      </w:pPr>
    </w:p>
    <w:p>
      <w:pPr>
        <w:ind w:left="0" w:leftChars="0" w:firstLine="0" w:firstLineChars="0"/>
        <w:jc w:val="right"/>
        <w:rPr>
          <w:color w:val="auto"/>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17" w:right="1701" w:bottom="1417" w:left="170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966B9"/>
    <w:multiLevelType w:val="singleLevel"/>
    <w:tmpl w:val="E84966B9"/>
    <w:lvl w:ilvl="0" w:tentative="0">
      <w:start w:val="8"/>
      <w:numFmt w:val="chineseCounting"/>
      <w:suff w:val="space"/>
      <w:lvlText w:val="第%1条"/>
      <w:lvlJc w:val="left"/>
      <w:rPr>
        <w:rFonts w:hint="eastAsia"/>
      </w:rPr>
    </w:lvl>
  </w:abstractNum>
  <w:abstractNum w:abstractNumId="1">
    <w:nsid w:val="297D68ED"/>
    <w:multiLevelType w:val="singleLevel"/>
    <w:tmpl w:val="297D68ED"/>
    <w:lvl w:ilvl="0" w:tentative="0">
      <w:start w:val="2"/>
      <w:numFmt w:val="decimal"/>
      <w:suff w:val="nothing"/>
      <w:lvlText w:val="%1、"/>
      <w:lvlJc w:val="left"/>
    </w:lvl>
  </w:abstractNum>
  <w:abstractNum w:abstractNumId="2">
    <w:nsid w:val="7807C9CF"/>
    <w:multiLevelType w:val="singleLevel"/>
    <w:tmpl w:val="7807C9CF"/>
    <w:lvl w:ilvl="0" w:tentative="0">
      <w:start w:val="3"/>
      <w:numFmt w:val="decimal"/>
      <w:suff w:val="nothing"/>
      <w:lvlText w:val="%1、"/>
      <w:lvlJc w:val="left"/>
      <w:pPr>
        <w:ind w:left="-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ZmVlNTRhYzMxMTQxOTZhNjkxMDVlMzk3YTE5YzYifQ=="/>
    <w:docVar w:name="KSO_WPS_MARK_KEY" w:val="a0e3d435-f363-4ae3-a041-29009158d09a"/>
  </w:docVars>
  <w:rsids>
    <w:rsidRoot w:val="4DD20B95"/>
    <w:rsid w:val="023F73A0"/>
    <w:rsid w:val="02E72A37"/>
    <w:rsid w:val="03E163DC"/>
    <w:rsid w:val="053553E8"/>
    <w:rsid w:val="05382A20"/>
    <w:rsid w:val="05E57848"/>
    <w:rsid w:val="06AA57CE"/>
    <w:rsid w:val="076C140E"/>
    <w:rsid w:val="0DAD4E1B"/>
    <w:rsid w:val="12844B79"/>
    <w:rsid w:val="129C122C"/>
    <w:rsid w:val="12CA2E4B"/>
    <w:rsid w:val="146A0337"/>
    <w:rsid w:val="168649BF"/>
    <w:rsid w:val="172A3039"/>
    <w:rsid w:val="19631F1F"/>
    <w:rsid w:val="1ADE334D"/>
    <w:rsid w:val="1BFB4FA4"/>
    <w:rsid w:val="1E3E4DFF"/>
    <w:rsid w:val="1F6A5082"/>
    <w:rsid w:val="21545FD1"/>
    <w:rsid w:val="220F716F"/>
    <w:rsid w:val="244162A2"/>
    <w:rsid w:val="25C618B3"/>
    <w:rsid w:val="25EA0F46"/>
    <w:rsid w:val="26693C58"/>
    <w:rsid w:val="27184077"/>
    <w:rsid w:val="27DA0383"/>
    <w:rsid w:val="280B47C0"/>
    <w:rsid w:val="299E3412"/>
    <w:rsid w:val="2A9748D6"/>
    <w:rsid w:val="2B165465"/>
    <w:rsid w:val="2B4B4573"/>
    <w:rsid w:val="2BF67536"/>
    <w:rsid w:val="2C870D05"/>
    <w:rsid w:val="32FD48AE"/>
    <w:rsid w:val="34851B6B"/>
    <w:rsid w:val="35CA5CBB"/>
    <w:rsid w:val="3627538C"/>
    <w:rsid w:val="38DF12E3"/>
    <w:rsid w:val="391D3392"/>
    <w:rsid w:val="3A2F6759"/>
    <w:rsid w:val="3B0366DC"/>
    <w:rsid w:val="3C6B5E1F"/>
    <w:rsid w:val="3CA72276"/>
    <w:rsid w:val="3F110BCB"/>
    <w:rsid w:val="3F666484"/>
    <w:rsid w:val="3FB76496"/>
    <w:rsid w:val="414E0307"/>
    <w:rsid w:val="42092942"/>
    <w:rsid w:val="43AD51F6"/>
    <w:rsid w:val="49770B6D"/>
    <w:rsid w:val="4AA976D8"/>
    <w:rsid w:val="4AE025C2"/>
    <w:rsid w:val="4B1010DA"/>
    <w:rsid w:val="4C946617"/>
    <w:rsid w:val="4DD20B95"/>
    <w:rsid w:val="4F7155F0"/>
    <w:rsid w:val="4F7E0844"/>
    <w:rsid w:val="52C60E77"/>
    <w:rsid w:val="52FE7B45"/>
    <w:rsid w:val="54206556"/>
    <w:rsid w:val="548B13E3"/>
    <w:rsid w:val="57437223"/>
    <w:rsid w:val="580F2A2A"/>
    <w:rsid w:val="58850F51"/>
    <w:rsid w:val="5CC1238E"/>
    <w:rsid w:val="660C4B2C"/>
    <w:rsid w:val="66F56294"/>
    <w:rsid w:val="68AA345B"/>
    <w:rsid w:val="68D66149"/>
    <w:rsid w:val="6A224B6F"/>
    <w:rsid w:val="6A364E73"/>
    <w:rsid w:val="6C595E8D"/>
    <w:rsid w:val="6D771A05"/>
    <w:rsid w:val="6F252DE1"/>
    <w:rsid w:val="72326B14"/>
    <w:rsid w:val="75843F06"/>
    <w:rsid w:val="79A2411F"/>
    <w:rsid w:val="79B539BF"/>
    <w:rsid w:val="7A6B54F7"/>
    <w:rsid w:val="7B040F0A"/>
    <w:rsid w:val="7BA508A5"/>
    <w:rsid w:val="7DE20124"/>
    <w:rsid w:val="7EA24A4B"/>
    <w:rsid w:val="7F011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仿宋_GB2312" w:cs="Times New Roman"/>
      <w:kern w:val="2"/>
      <w:sz w:val="30"/>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宋体"/>
      <w:kern w:val="0"/>
      <w:sz w:val="24"/>
      <w:szCs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rFonts w:ascii="Times New Roman" w:hAnsi="Times New Roman" w:eastAsia="宋体" w:cs="Times New Roman"/>
      <w:snapToGrid/>
      <w:color w:val="auto"/>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alpha_contract_review_append_comment_0a64144670494a77af61c3979fc3029a"/>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6993</Words>
  <Characters>7166</Characters>
  <Lines>0</Lines>
  <Paragraphs>0</Paragraphs>
  <TotalTime>54</TotalTime>
  <ScaleCrop>false</ScaleCrop>
  <LinksUpToDate>false</LinksUpToDate>
  <CharactersWithSpaces>7595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2023-12-15T01:50:00Z</dcterms:created>
  <dc:creator>孙元隆</dc:creator>
  <cp:lastModifiedBy>曾令杰</cp:lastModifiedBy>
  <cp:lastPrinted>2025-10-23T01:19:00Z</cp:lastPrinted>
  <dcterms:modified xsi:type="dcterms:W3CDTF">2025-10-24T02:11:56Z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150DD1E26F304DA191D9E47C2B3D1B04</vt:lpwstr>
  </property>
  <property fmtid="{D5CDD505-2E9C-101B-9397-08002B2CF9AE}" pid="4" name="KSOTemplateDocerSaveRecord">
    <vt:lpwstr>eyJoZGlkIjoiYmNmMTIzMGQwNWY2ZGY0ODkxNjhiMDMxOTg3NjY0ZTAiLCJ1c2VySWQiOiIxMzYyODQwODU0In0=</vt:lpwstr>
  </property>
</Properties>
</file>