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4DB7F2">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4169BD3C">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0507B97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49888129">
      <w:pPr>
        <w:pStyle w:val="6"/>
        <w:ind w:firstLine="0"/>
        <w:jc w:val="left"/>
        <w:rPr>
          <w:rFonts w:ascii="仿宋_GB2312" w:hAnsi="仿宋_GB2312" w:eastAsia="仿宋_GB2312" w:cs="仿宋_GB2312"/>
          <w:color w:val="000000"/>
          <w:sz w:val="30"/>
          <w:szCs w:val="30"/>
        </w:rPr>
      </w:pPr>
    </w:p>
    <w:p w14:paraId="73FDBE4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2E8EBF3">
      <w:pPr>
        <w:pStyle w:val="6"/>
        <w:ind w:firstLine="0"/>
        <w:jc w:val="left"/>
        <w:rPr>
          <w:rFonts w:ascii="仿宋_GB2312" w:hAnsi="仿宋_GB2312" w:eastAsia="仿宋_GB2312" w:cs="仿宋_GB2312"/>
          <w:color w:val="000000"/>
          <w:sz w:val="30"/>
          <w:szCs w:val="30"/>
        </w:rPr>
      </w:pPr>
    </w:p>
    <w:p w14:paraId="0B4321B1">
      <w:pPr>
        <w:pStyle w:val="6"/>
        <w:jc w:val="left"/>
        <w:rPr>
          <w:rFonts w:ascii="仿宋_GB2312" w:hAnsi="仿宋_GB2312" w:eastAsia="仿宋_GB2312" w:cs="仿宋_GB2312"/>
          <w:color w:val="000000"/>
          <w:sz w:val="30"/>
          <w:szCs w:val="30"/>
        </w:rPr>
      </w:pPr>
    </w:p>
    <w:p w14:paraId="1F5E25A4">
      <w:pPr>
        <w:pStyle w:val="6"/>
        <w:jc w:val="left"/>
        <w:rPr>
          <w:rFonts w:ascii="仿宋_GB2312" w:hAnsi="仿宋_GB2312" w:eastAsia="仿宋_GB2312" w:cs="仿宋_GB2312"/>
          <w:color w:val="000000"/>
          <w:sz w:val="30"/>
          <w:szCs w:val="30"/>
        </w:rPr>
      </w:pPr>
    </w:p>
    <w:p w14:paraId="426744E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1D38C47E">
      <w:pPr>
        <w:pStyle w:val="6"/>
        <w:ind w:firstLine="0"/>
        <w:jc w:val="left"/>
        <w:rPr>
          <w:rFonts w:ascii="仿宋_GB2312" w:hAnsi="仿宋_GB2312" w:eastAsia="仿宋_GB2312" w:cs="仿宋_GB2312"/>
          <w:color w:val="000000"/>
          <w:sz w:val="30"/>
          <w:szCs w:val="30"/>
        </w:rPr>
      </w:pPr>
    </w:p>
    <w:p w14:paraId="65F221F6">
      <w:pPr>
        <w:pStyle w:val="6"/>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7E21C690">
      <w:pPr>
        <w:pStyle w:val="6"/>
        <w:jc w:val="left"/>
        <w:rPr>
          <w:rFonts w:ascii="仿宋_GB2312" w:hAnsi="仿宋_GB2312" w:eastAsia="仿宋_GB2312" w:cs="仿宋_GB2312"/>
          <w:color w:val="000000"/>
          <w:sz w:val="30"/>
          <w:szCs w:val="30"/>
        </w:rPr>
      </w:pPr>
    </w:p>
    <w:p w14:paraId="5309DF68">
      <w:pPr>
        <w:pStyle w:val="6"/>
        <w:jc w:val="left"/>
        <w:rPr>
          <w:rFonts w:ascii="仿宋_GB2312" w:hAnsi="仿宋_GB2312" w:eastAsia="仿宋_GB2312" w:cs="仿宋_GB2312"/>
          <w:color w:val="000000"/>
          <w:sz w:val="30"/>
          <w:szCs w:val="30"/>
        </w:rPr>
      </w:pPr>
    </w:p>
    <w:p w14:paraId="5FE63F90">
      <w:pPr>
        <w:pStyle w:val="6"/>
        <w:jc w:val="left"/>
        <w:rPr>
          <w:rFonts w:ascii="仿宋_GB2312" w:hAnsi="仿宋_GB2312" w:eastAsia="仿宋_GB2312" w:cs="仿宋_GB2312"/>
          <w:color w:val="000000"/>
          <w:sz w:val="30"/>
          <w:szCs w:val="30"/>
        </w:rPr>
      </w:pPr>
    </w:p>
    <w:p w14:paraId="5C162833">
      <w:pPr>
        <w:pStyle w:val="6"/>
        <w:jc w:val="left"/>
        <w:rPr>
          <w:rFonts w:ascii="仿宋_GB2312" w:hAnsi="仿宋_GB2312" w:eastAsia="仿宋_GB2312" w:cs="仿宋_GB2312"/>
          <w:color w:val="000000"/>
          <w:sz w:val="30"/>
          <w:szCs w:val="30"/>
        </w:rPr>
      </w:pPr>
    </w:p>
    <w:p w14:paraId="70AE65A4">
      <w:pPr>
        <w:pStyle w:val="6"/>
        <w:jc w:val="left"/>
        <w:rPr>
          <w:rFonts w:ascii="仿宋_GB2312" w:hAnsi="仿宋_GB2312" w:eastAsia="仿宋_GB2312" w:cs="仿宋_GB2312"/>
          <w:color w:val="000000"/>
          <w:sz w:val="30"/>
          <w:szCs w:val="30"/>
        </w:rPr>
      </w:pPr>
    </w:p>
    <w:p w14:paraId="36AF397D">
      <w:pPr>
        <w:pStyle w:val="6"/>
        <w:jc w:val="left"/>
        <w:rPr>
          <w:rFonts w:ascii="仿宋_GB2312" w:hAnsi="仿宋_GB2312" w:eastAsia="仿宋_GB2312" w:cs="仿宋_GB2312"/>
          <w:color w:val="000000"/>
          <w:sz w:val="30"/>
          <w:szCs w:val="30"/>
        </w:rPr>
      </w:pPr>
    </w:p>
    <w:p w14:paraId="300EDA70">
      <w:pPr>
        <w:pStyle w:val="6"/>
        <w:jc w:val="left"/>
        <w:rPr>
          <w:rFonts w:ascii="仿宋_GB2312" w:hAnsi="仿宋_GB2312" w:eastAsia="仿宋_GB2312" w:cs="仿宋_GB2312"/>
          <w:color w:val="000000"/>
          <w:sz w:val="30"/>
          <w:szCs w:val="30"/>
        </w:rPr>
      </w:pPr>
    </w:p>
    <w:p w14:paraId="72882978">
      <w:pPr>
        <w:pStyle w:val="6"/>
        <w:jc w:val="left"/>
        <w:rPr>
          <w:rFonts w:ascii="仿宋_GB2312" w:hAnsi="仿宋_GB2312" w:eastAsia="仿宋_GB2312" w:cs="仿宋_GB2312"/>
          <w:color w:val="000000"/>
          <w:sz w:val="30"/>
          <w:szCs w:val="30"/>
        </w:rPr>
      </w:pPr>
    </w:p>
    <w:p w14:paraId="1952BB09">
      <w:pPr>
        <w:jc w:val="left"/>
        <w:sectPr>
          <w:footerReference r:id="rId3" w:type="default"/>
          <w:pgSz w:w="11906" w:h="16838"/>
          <w:pgMar w:top="1440" w:right="1800" w:bottom="1440" w:left="1800" w:header="851" w:footer="992" w:gutter="0"/>
          <w:cols w:space="425" w:num="1"/>
          <w:docGrid w:type="lines" w:linePitch="312" w:charSpace="0"/>
        </w:sectPr>
      </w:pPr>
    </w:p>
    <w:p w14:paraId="6207068B">
      <w:pPr>
        <w:pStyle w:val="3"/>
        <w:spacing w:line="240" w:lineRule="auto"/>
        <w:rPr>
          <w:rFonts w:ascii="黑体" w:hAnsi="黑体"/>
          <w:color w:val="000000"/>
        </w:rPr>
      </w:pPr>
      <w:bookmarkStart w:id="1" w:name="_Toc24454"/>
      <w:bookmarkStart w:id="2" w:name="_Toc21422"/>
      <w:bookmarkStart w:id="3" w:name="_Toc32320"/>
      <w:bookmarkStart w:id="4" w:name="_Toc11918"/>
      <w:bookmarkStart w:id="5" w:name="_Toc20910"/>
      <w:bookmarkStart w:id="6" w:name="_Toc15737"/>
      <w:bookmarkStart w:id="7" w:name="_Toc21762"/>
      <w:bookmarkStart w:id="8" w:name="_Toc24727"/>
      <w:bookmarkStart w:id="9" w:name="_Toc29002"/>
      <w:bookmarkStart w:id="10" w:name="_Toc24068"/>
      <w:bookmarkStart w:id="11" w:name="_Toc20033"/>
      <w:bookmarkStart w:id="12" w:name="_Toc13462"/>
      <w:bookmarkStart w:id="13" w:name="_Toc8396"/>
      <w:bookmarkStart w:id="14" w:name="_Toc12789"/>
      <w:bookmarkStart w:id="15" w:name="_Toc7615"/>
      <w:bookmarkStart w:id="16" w:name="_Toc25712"/>
      <w:r>
        <w:rPr>
          <w:rFonts w:hint="eastAsia" w:ascii="黑体" w:hAnsi="黑体"/>
          <w:color w:val="000000"/>
        </w:rPr>
        <w:t>网络竞价须知</w:t>
      </w:r>
      <w:bookmarkEnd w:id="1"/>
      <w:bookmarkEnd w:id="2"/>
      <w:bookmarkEnd w:id="3"/>
      <w:bookmarkEnd w:id="4"/>
      <w:bookmarkEnd w:id="5"/>
      <w:bookmarkEnd w:id="6"/>
      <w:bookmarkEnd w:id="7"/>
    </w:p>
    <w:p w14:paraId="5B3AB3E4">
      <w:pPr>
        <w:numPr>
          <w:ilvl w:val="0"/>
          <w:numId w:val="1"/>
        </w:numPr>
        <w:spacing w:line="520" w:lineRule="exact"/>
        <w:rPr>
          <w:rFonts w:ascii="新宋体" w:hAnsi="新宋体" w:eastAsia="新宋体"/>
          <w:sz w:val="28"/>
          <w:szCs w:val="28"/>
        </w:rPr>
      </w:pPr>
      <w:r>
        <w:rPr>
          <w:rFonts w:hint="eastAsia" w:ascii="新宋体" w:hAnsi="新宋体" w:eastAsia="新宋体"/>
          <w:b/>
          <w:bCs/>
          <w:color w:val="C00000"/>
          <w:sz w:val="28"/>
          <w:szCs w:val="28"/>
          <w:u w:val="single"/>
          <w:lang w:val="en-US" w:eastAsia="zh-CN"/>
        </w:rPr>
        <w:t>临高县多文镇头龙村委会112.2亩鱼塘出租</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cs="新宋体"/>
          <w:color w:val="auto"/>
          <w:sz w:val="28"/>
          <w:szCs w:val="28"/>
          <w:highlight w:val="none"/>
        </w:rPr>
        <w:fldChar w:fldCharType="begin"/>
      </w:r>
      <w:r>
        <w:rPr>
          <w:rFonts w:hint="eastAsia" w:ascii="新宋体" w:hAnsi="新宋体" w:eastAsia="新宋体" w:cs="新宋体"/>
          <w:sz w:val="28"/>
          <w:szCs w:val="28"/>
          <w:highlight w:val="none"/>
        </w:rPr>
        <w:instrText xml:space="preserve"> HYPERLINK \l _Toc17598 </w:instrText>
      </w:r>
      <w:r>
        <w:rPr>
          <w:rFonts w:hint="eastAsia" w:ascii="新宋体" w:hAnsi="新宋体" w:eastAsia="新宋体" w:cs="新宋体"/>
          <w:sz w:val="28"/>
          <w:szCs w:val="28"/>
          <w:highlight w:val="none"/>
        </w:rPr>
        <w:fldChar w:fldCharType="separate"/>
      </w:r>
      <w:r>
        <w:rPr>
          <w:rFonts w:hint="eastAsia" w:ascii="新宋体" w:hAnsi="新宋体" w:eastAsia="新宋体" w:cs="新宋体"/>
          <w:kern w:val="0"/>
          <w:sz w:val="28"/>
          <w:szCs w:val="28"/>
          <w:highlight w:val="none"/>
          <w:lang w:val="en-US" w:eastAsia="zh-CN"/>
        </w:rPr>
        <w:t>临高农村产权交易中心</w:t>
      </w:r>
      <w:r>
        <w:rPr>
          <w:rFonts w:hint="eastAsia" w:ascii="新宋体" w:hAnsi="新宋体" w:eastAsia="新宋体" w:cs="新宋体"/>
          <w:kern w:val="0"/>
          <w:sz w:val="28"/>
          <w:szCs w:val="28"/>
          <w:highlight w:val="none"/>
        </w:rPr>
        <w:t>农村产权交易规则（试行）</w:t>
      </w:r>
      <w:r>
        <w:rPr>
          <w:rFonts w:hint="eastAsia" w:ascii="新宋体" w:hAnsi="新宋体" w:eastAsia="新宋体" w:cs="新宋体"/>
          <w:color w:val="auto"/>
          <w:sz w:val="28"/>
          <w:szCs w:val="28"/>
          <w:highlight w:val="none"/>
        </w:rPr>
        <w:fldChar w:fldCharType="end"/>
      </w:r>
      <w:r>
        <w:rPr>
          <w:rFonts w:hint="eastAsia" w:ascii="新宋体" w:hAnsi="新宋体" w:eastAsia="新宋体"/>
          <w:sz w:val="28"/>
          <w:szCs w:val="28"/>
        </w:rPr>
        <w:t>》、《</w:t>
      </w:r>
      <w:r>
        <w:rPr>
          <w:rFonts w:hint="eastAsia" w:ascii="新宋体" w:hAnsi="新宋体" w:eastAsia="新宋体" w:cs="新宋体"/>
          <w:bCs w:val="0"/>
          <w:kern w:val="0"/>
          <w:sz w:val="28"/>
          <w:szCs w:val="28"/>
          <w:highlight w:val="none"/>
          <w:lang w:val="en-US" w:eastAsia="zh-CN"/>
        </w:rPr>
        <w:t>临高农村产权交易中心</w:t>
      </w:r>
      <w:r>
        <w:rPr>
          <w:rFonts w:hint="eastAsia" w:ascii="新宋体" w:hAnsi="新宋体" w:eastAsia="新宋体" w:cs="新宋体"/>
          <w:bCs w:val="0"/>
          <w:kern w:val="0"/>
          <w:sz w:val="28"/>
          <w:szCs w:val="28"/>
          <w:highlight w:val="none"/>
        </w:rPr>
        <w:t>网络竞价实施办法（试行）</w:t>
      </w:r>
      <w:r>
        <w:rPr>
          <w:rFonts w:hint="eastAsia" w:ascii="新宋体" w:hAnsi="新宋体" w:eastAsia="新宋体"/>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临高农村产权交易中心(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lingao</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w:t>
      </w:r>
      <w:r>
        <w:rPr>
          <w:rFonts w:hint="eastAsia" w:ascii="新宋体" w:hAnsi="新宋体" w:eastAsia="新宋体" w:cs="Times New Roman"/>
          <w:sz w:val="28"/>
          <w:szCs w:val="28"/>
          <w:lang w:val="en-US" w:eastAsia="zh-CN"/>
        </w:rPr>
        <w:t>发包</w:t>
      </w:r>
      <w:r>
        <w:rPr>
          <w:rFonts w:hint="eastAsia" w:ascii="新宋体" w:hAnsi="新宋体" w:eastAsia="新宋体" w:cs="Times New Roman"/>
          <w:sz w:val="28"/>
          <w:szCs w:val="28"/>
        </w:rPr>
        <w:t>（转让）方提供，竞买申请方在提交竞买报名之前，应对所竞买的项目标的有关情况及瑕疵已做了全面的了解，竞买方如对交易须知、交易规则、交易公告等交易文件有疑问的，可向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47DB85A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有关交易规则和交易须知。</w:t>
      </w:r>
    </w:p>
    <w:p w14:paraId="2E260CF6">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11</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9日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前签署并向</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提交本次网络竞价《网络竞价须知》《网络竞价承诺函》等竞价文件后，</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审核通过后，交纳交易保证金（</w:t>
      </w:r>
      <w:r>
        <w:rPr>
          <w:rFonts w:hint="eastAsia" w:ascii="新宋体" w:hAnsi="新宋体" w:eastAsia="新宋体" w:cs="Times New Roman"/>
          <w:sz w:val="28"/>
          <w:szCs w:val="28"/>
          <w:lang w:val="en-US" w:eastAsia="zh-CN"/>
        </w:rPr>
        <w:t>14000元</w:t>
      </w:r>
      <w:r>
        <w:rPr>
          <w:rFonts w:hint="eastAsia" w:ascii="新宋体" w:hAnsi="新宋体" w:eastAsia="新宋体" w:cs="Times New Roman"/>
          <w:sz w:val="28"/>
          <w:szCs w:val="28"/>
        </w:rPr>
        <w:t>），</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411"/>
      </w:tblGrid>
      <w:tr w14:paraId="1722805F">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eastAsia="zh-CN"/>
              </w:rPr>
              <w:t>临高县农村产权交易中心</w:t>
            </w:r>
            <w:r>
              <w:rPr>
                <w:rFonts w:hint="eastAsia" w:ascii="仿宋_GB2312" w:hAnsi="仿宋_GB2312" w:eastAsia="仿宋_GB2312" w:cs="仿宋_GB2312"/>
                <w:b/>
                <w:bCs/>
                <w:sz w:val="28"/>
                <w:szCs w:val="28"/>
              </w:rPr>
              <w:t>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rPr>
              <w:t>海南农村商业银行股份有限公司临高</w:t>
            </w:r>
            <w:r>
              <w:rPr>
                <w:rFonts w:hint="eastAsia" w:ascii="仿宋_GB2312" w:hAnsi="仿宋_GB2312" w:eastAsia="仿宋_GB2312" w:cs="仿宋_GB2312"/>
                <w:b/>
                <w:bCs/>
                <w:sz w:val="28"/>
                <w:szCs w:val="28"/>
                <w:lang w:val="en-US" w:eastAsia="zh-CN"/>
              </w:rPr>
              <w:t>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1020189500000273</w:t>
            </w:r>
          </w:p>
        </w:tc>
      </w:tr>
    </w:tbl>
    <w:p w14:paraId="62FA12F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提出更新申请，否则由此引起的经济及法律责任均由竞买方自行承担。</w:t>
      </w:r>
    </w:p>
    <w:p w14:paraId="6B463B7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lingao</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751E5445">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 xml:space="preserve">  67320</w:t>
      </w:r>
      <w:r>
        <w:rPr>
          <w:rFonts w:hint="eastAsia" w:ascii="新宋体" w:hAnsi="新宋体" w:eastAsia="新宋体" w:cs="Times New Roman"/>
          <w:b/>
          <w:bCs/>
          <w:sz w:val="28"/>
          <w:szCs w:val="28"/>
          <w:lang w:val="en-US" w:eastAsia="zh-CN"/>
        </w:rPr>
        <w:t>元/年</w:t>
      </w:r>
    </w:p>
    <w:p w14:paraId="760DF9A5">
      <w:pPr>
        <w:pStyle w:val="4"/>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w:t>
      </w:r>
      <w:r>
        <w:rPr>
          <w:rFonts w:hint="eastAsia" w:ascii="新宋体" w:hAnsi="新宋体" w:eastAsia="新宋体" w:cs="Times New Roman"/>
          <w:sz w:val="28"/>
          <w:szCs w:val="28"/>
          <w:lang w:eastAsia="zh-CN"/>
        </w:rPr>
        <w:t>发包</w:t>
      </w:r>
      <w:r>
        <w:rPr>
          <w:rFonts w:hint="eastAsia" w:ascii="新宋体" w:hAnsi="新宋体" w:eastAsia="新宋体" w:cs="Times New Roman"/>
          <w:sz w:val="28"/>
          <w:szCs w:val="28"/>
        </w:rPr>
        <w:t>（转让）方确定的交易条件，通过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78BF1BB1">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rPr>
        <w:t>100</w:t>
      </w:r>
      <w:r>
        <w:rPr>
          <w:rFonts w:hint="eastAsia" w:ascii="新宋体" w:hAnsi="新宋体" w:eastAsia="新宋体" w:cs="Times New Roman"/>
          <w:sz w:val="28"/>
          <w:szCs w:val="28"/>
        </w:rPr>
        <w:t>元的整数倍（至少100元）。</w:t>
      </w:r>
    </w:p>
    <w:p w14:paraId="66DBDF05">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11-10日</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当即与</w:t>
      </w:r>
      <w:r>
        <w:rPr>
          <w:rFonts w:hint="eastAsia" w:ascii="新宋体" w:hAnsi="新宋体" w:eastAsia="新宋体" w:cs="Times New Roman"/>
          <w:sz w:val="28"/>
          <w:szCs w:val="28"/>
          <w:lang w:eastAsia="zh-CN"/>
        </w:rPr>
        <w:t>发包</w:t>
      </w:r>
      <w:r>
        <w:rPr>
          <w:rFonts w:hint="eastAsia" w:ascii="新宋体" w:hAnsi="新宋体" w:eastAsia="新宋体" w:cs="Times New Roman"/>
          <w:sz w:val="28"/>
          <w:szCs w:val="28"/>
        </w:rPr>
        <w:t>（转让）方协商后续方案，并将结果及时通知各竞买方，</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将按照</w:t>
      </w:r>
      <w:r>
        <w:rPr>
          <w:rFonts w:hint="eastAsia" w:ascii="新宋体" w:hAnsi="新宋体" w:eastAsia="新宋体" w:cs="Times New Roman"/>
          <w:sz w:val="28"/>
          <w:szCs w:val="28"/>
          <w:lang w:eastAsia="zh-CN"/>
        </w:rPr>
        <w:t>发包</w:t>
      </w:r>
      <w:r>
        <w:rPr>
          <w:rFonts w:hint="eastAsia" w:ascii="新宋体" w:hAnsi="新宋体" w:eastAsia="新宋体" w:cs="Times New Roman"/>
          <w:sz w:val="28"/>
          <w:szCs w:val="28"/>
        </w:rPr>
        <w:t>（转让）方要求的时间和方式继续竞价或重新竞价，</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通知各竞买方。</w:t>
      </w:r>
    </w:p>
    <w:p w14:paraId="0FB834E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可以根据相关约定重新组织实施竞价或再次发布转让信息公告。</w:t>
      </w:r>
    </w:p>
    <w:p w14:paraId="63C0E13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2CA4078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（转让）方的身份参与竞价交易活动的。</w:t>
      </w:r>
    </w:p>
    <w:p w14:paraId="3563429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w:t>
      </w:r>
      <w:r>
        <w:rPr>
          <w:rFonts w:hint="eastAsia" w:ascii="新宋体" w:hAnsi="新宋体" w:eastAsia="新宋体" w:cs="Times New Roman"/>
          <w:b/>
          <w:bCs/>
          <w:sz w:val="28"/>
          <w:szCs w:val="28"/>
          <w:lang w:eastAsia="zh-CN"/>
        </w:rPr>
        <w:t>发包</w:t>
      </w:r>
      <w:r>
        <w:rPr>
          <w:rFonts w:hint="eastAsia" w:ascii="新宋体" w:hAnsi="新宋体" w:eastAsia="新宋体" w:cs="Times New Roman"/>
          <w:b/>
          <w:bCs/>
          <w:sz w:val="28"/>
          <w:szCs w:val="28"/>
        </w:rPr>
        <w:t>（转让）只有一个竞买方参与竞拍的，需先由委托单位根据有关规定报海垦集团批准后，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才能出具《标的竞得书》），竞得人凭《标的竞得书》与委托单位在3个工作日内（或按公告要求的时限）签订交易合同，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对合同内容按规定进行形式审核，审核通过后解冻竞得人的交易保证金。竞得人需要在交易合同签订的5个工作日内按规定标准缴纳交易服务费。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eastAsia="zh-CN"/>
              </w:rPr>
              <w:t>临高县农村产权交易中心</w:t>
            </w:r>
            <w:r>
              <w:rPr>
                <w:rFonts w:hint="eastAsia" w:asciiTheme="minorEastAsia" w:hAnsiTheme="minorEastAsia" w:cstheme="minorEastAsia"/>
                <w:b/>
                <w:bCs/>
                <w:sz w:val="28"/>
                <w:szCs w:val="28"/>
              </w:rPr>
              <w:t>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spacing w:line="520" w:lineRule="exact"/>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cstheme="minorEastAsia"/>
                <w:b/>
                <w:bCs/>
                <w:sz w:val="28"/>
                <w:szCs w:val="28"/>
              </w:rPr>
              <w:t>海南农村商业银行股份有限公司临高</w:t>
            </w:r>
            <w:r>
              <w:rPr>
                <w:rFonts w:hint="eastAsia" w:asciiTheme="minorEastAsia" w:hAnsiTheme="minorEastAsia" w:cstheme="minorEastAsia"/>
                <w:b/>
                <w:bCs/>
                <w:sz w:val="28"/>
                <w:szCs w:val="28"/>
                <w:lang w:val="en-US" w:eastAsia="zh-CN"/>
              </w:rPr>
              <w:t>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spacing w:line="520" w:lineRule="exact"/>
              <w:jc w:val="center"/>
              <w:rPr>
                <w:rFonts w:hint="default" w:asciiTheme="minorEastAsia" w:hAnsiTheme="minorEastAsia" w:cstheme="minorEastAsia"/>
                <w:b/>
                <w:bCs/>
                <w:sz w:val="28"/>
                <w:szCs w:val="28"/>
                <w:lang w:val="en-US"/>
              </w:rPr>
            </w:pPr>
            <w:r>
              <w:rPr>
                <w:rFonts w:hint="eastAsia" w:ascii="仿宋_GB2312" w:hAnsi="仿宋_GB2312" w:eastAsia="仿宋_GB2312" w:cs="仿宋_GB2312"/>
                <w:b/>
                <w:bCs/>
                <w:sz w:val="28"/>
                <w:szCs w:val="28"/>
                <w:lang w:val="en-US" w:eastAsia="zh-CN"/>
              </w:rPr>
              <w:t>1020189500000130</w:t>
            </w:r>
          </w:p>
        </w:tc>
      </w:tr>
    </w:tbl>
    <w:p w14:paraId="0D1E659A">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eastAsia="zh-CN"/>
        </w:rPr>
        <w:t>临高农村产权交易中心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087C1B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5C6B7A6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有权根据相关法律、法规进行变更和修订。</w:t>
      </w:r>
    </w:p>
    <w:p w14:paraId="0F038479">
      <w:pPr>
        <w:bidi w:val="0"/>
      </w:pPr>
    </w:p>
    <w:p w14:paraId="7C6A48B4">
      <w:pPr>
        <w:spacing w:line="520" w:lineRule="exact"/>
      </w:pPr>
      <w:r>
        <w:rPr>
          <w:rFonts w:hint="eastAsia" w:ascii="Times New Roman" w:hAnsi="Times New Roman"/>
          <w:sz w:val="32"/>
          <w:szCs w:val="32"/>
        </w:rPr>
        <w:t>已详细阅读此竞价须知，对此竞价须知无异议。</w:t>
      </w:r>
    </w:p>
    <w:p w14:paraId="23240C30">
      <w:pPr>
        <w:spacing w:line="520" w:lineRule="exact"/>
        <w:ind w:firstLine="3200" w:firstLineChars="1000"/>
        <w:rPr>
          <w:rFonts w:hint="eastAsia" w:ascii="Times New Roman" w:hAnsi="Times New Roman"/>
          <w:sz w:val="32"/>
          <w:szCs w:val="32"/>
        </w:rPr>
      </w:pPr>
    </w:p>
    <w:p w14:paraId="3904B635">
      <w:pPr>
        <w:spacing w:line="520" w:lineRule="exact"/>
        <w:ind w:firstLine="3200" w:firstLineChars="1000"/>
        <w:rPr>
          <w:rFonts w:hint="eastAsia" w:ascii="Times New Roman" w:hAnsi="Times New Roman"/>
          <w:sz w:val="32"/>
          <w:szCs w:val="32"/>
        </w:rPr>
      </w:pPr>
      <w:r>
        <w:rPr>
          <w:rFonts w:hint="eastAsia" w:ascii="Times New Roman" w:hAnsi="Times New Roman"/>
          <w:sz w:val="32"/>
          <w:szCs w:val="32"/>
        </w:rPr>
        <w:t>签字（盖章）确认：</w:t>
      </w:r>
    </w:p>
    <w:p w14:paraId="23B6C5FB">
      <w:pPr>
        <w:spacing w:line="520" w:lineRule="exact"/>
        <w:ind w:firstLine="3200" w:firstLineChars="1000"/>
        <w:rPr>
          <w:rFonts w:ascii="黑体" w:hAnsi="黑体"/>
          <w:color w:val="000000"/>
        </w:rPr>
      </w:pPr>
      <w:r>
        <w:rPr>
          <w:rFonts w:hint="eastAsia" w:ascii="Times New Roman" w:hAnsi="Times New Roman" w:eastAsiaTheme="minorEastAsia" w:cstheme="minorBidi"/>
          <w:b w:val="0"/>
          <w:kern w:val="2"/>
          <w:sz w:val="32"/>
          <w:szCs w:val="32"/>
          <w:lang w:val="en-US" w:eastAsia="zh-CN" w:bidi="ar-SA"/>
        </w:rPr>
        <w:t>日期：     年     月   日</w:t>
      </w:r>
    </w:p>
    <w:p w14:paraId="763E172D">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15AB0BC9">
      <w:pPr>
        <w:pStyle w:val="3"/>
        <w:spacing w:line="240" w:lineRule="auto"/>
        <w:jc w:val="center"/>
        <w:rPr>
          <w:rStyle w:val="15"/>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临高农村产权交易中心</w:t>
      </w:r>
      <w:r>
        <w:rPr>
          <w:rFonts w:hint="eastAsia" w:ascii="Times New Roman" w:hAnsi="Times New Roman"/>
          <w:sz w:val="28"/>
          <w:szCs w:val="28"/>
        </w:rPr>
        <w:t>：</w:t>
      </w:r>
    </w:p>
    <w:p w14:paraId="39B3019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临高县多文镇头龙村委会112.2亩鱼塘出租</w:t>
      </w:r>
      <w:r>
        <w:rPr>
          <w:rFonts w:ascii="Times New Roman" w:hAnsi="Times New Roman"/>
          <w:sz w:val="28"/>
          <w:szCs w:val="28"/>
        </w:rPr>
        <w:t>”</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临高县多文镇头龙村委会112.2亩鱼塘出租</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临高县多文镇头龙村委会112.2亩鱼塘出租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临高农村产权交易中心</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w:t>
      </w:r>
      <w:r>
        <w:rPr>
          <w:rFonts w:hint="eastAsia" w:ascii="Times New Roman" w:hAnsi="Times New Roman"/>
          <w:sz w:val="28"/>
          <w:szCs w:val="28"/>
          <w:lang w:eastAsia="zh-CN"/>
        </w:rPr>
        <w:t>发包</w:t>
      </w:r>
      <w:r>
        <w:rPr>
          <w:rFonts w:hint="eastAsia" w:ascii="Times New Roman" w:hAnsi="Times New Roman"/>
          <w:sz w:val="28"/>
          <w:szCs w:val="28"/>
        </w:rPr>
        <w:t>（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临高农村产权交易中心</w:t>
      </w:r>
      <w:r>
        <w:rPr>
          <w:rFonts w:hint="eastAsia" w:ascii="新宋体" w:hAnsi="新宋体" w:eastAsia="新宋体" w:cs="Times New Roman"/>
          <w:sz w:val="28"/>
          <w:szCs w:val="28"/>
          <w:lang w:val="en-US" w:eastAsia="zh-CN"/>
        </w:rPr>
        <w:t>（以下简称“农交中心”）网站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lingao</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w:t>
      </w:r>
      <w:r>
        <w:rPr>
          <w:rFonts w:hint="eastAsia" w:ascii="Times New Roman" w:hAnsi="Times New Roman"/>
          <w:sz w:val="28"/>
          <w:szCs w:val="28"/>
          <w:lang w:eastAsia="zh-CN"/>
        </w:rPr>
        <w:t>发包</w:t>
      </w:r>
      <w:r>
        <w:rPr>
          <w:rFonts w:hint="eastAsia" w:ascii="Times New Roman" w:hAnsi="Times New Roman"/>
          <w:sz w:val="28"/>
          <w:szCs w:val="28"/>
        </w:rPr>
        <w:t>（转让）方和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临高</w:t>
      </w:r>
      <w:r>
        <w:rPr>
          <w:rFonts w:hint="eastAsia" w:ascii="Times New Roman" w:hAnsi="Times New Roman"/>
          <w:sz w:val="28"/>
          <w:szCs w:val="28"/>
        </w:rPr>
        <w:t>农村产权交易服务</w:t>
      </w:r>
      <w:r>
        <w:rPr>
          <w:rFonts w:hint="eastAsia" w:ascii="Times New Roman" w:hAnsi="Times New Roman"/>
          <w:sz w:val="28"/>
          <w:szCs w:val="28"/>
          <w:lang w:eastAsia="zh-CN"/>
        </w:rPr>
        <w:t>农交中心</w:t>
      </w:r>
      <w:r>
        <w:rPr>
          <w:rFonts w:hint="eastAsia" w:ascii="Times New Roman" w:hAnsi="Times New Roman"/>
          <w:sz w:val="28"/>
          <w:szCs w:val="28"/>
        </w:rPr>
        <w:t>书面通知要求与</w:t>
      </w:r>
      <w:r>
        <w:rPr>
          <w:rFonts w:hint="eastAsia" w:ascii="Times New Roman" w:hAnsi="Times New Roman"/>
          <w:sz w:val="28"/>
          <w:szCs w:val="28"/>
          <w:lang w:eastAsia="zh-CN"/>
        </w:rPr>
        <w:t>发包</w:t>
      </w:r>
      <w:r>
        <w:rPr>
          <w:rFonts w:hint="eastAsia" w:ascii="Times New Roman" w:hAnsi="Times New Roman"/>
          <w:sz w:val="28"/>
          <w:szCs w:val="28"/>
        </w:rPr>
        <w:t>（转让）方签署交易合同，并按《产权交易结算通知书》的约定支付交易价款。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0F1B74DC">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5E211D9">
      <w:pPr>
        <w:rPr>
          <w:rFonts w:ascii="仿宋_GB2312" w:hAnsi="仿宋_GB2312" w:eastAsia="仿宋_GB2312" w:cs="仿宋_GB2312"/>
          <w:b/>
          <w:color w:val="000000"/>
          <w:sz w:val="30"/>
          <w:szCs w:val="30"/>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临高农村产权交易中心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临高农村产权交易中心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临高农村产权交易中心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5</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 xml:space="preserve"> 9 </w:t>
      </w:r>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3"/>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临高农村产权交易中心</w:t>
      </w:r>
      <w:r>
        <w:rPr>
          <w:rFonts w:hint="eastAsia" w:ascii="Times New Roman" w:hAnsi="Times New Roman" w:eastAsia="黑体"/>
          <w:sz w:val="24"/>
        </w:rPr>
        <w:t>：</w:t>
      </w:r>
    </w:p>
    <w:p w14:paraId="7BB5CB8B">
      <w:pPr>
        <w:spacing w:line="440" w:lineRule="exact"/>
        <w:ind w:firstLine="480" w:firstLineChars="200"/>
        <w:rPr>
          <w:sz w:val="24"/>
        </w:rPr>
      </w:pPr>
      <w:r>
        <w:rPr>
          <w:sz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临高农村产权交易中心（以下简称“农交中心”）网站</w:t>
      </w:r>
      <w:r>
        <w:rPr>
          <w:rFonts w:hint="eastAsia" w:ascii="Times New Roman" w:hAnsi="Times New Roman"/>
          <w:bCs/>
          <w:sz w:val="24"/>
        </w:rPr>
        <w:t>（http://</w:t>
      </w:r>
      <w:r>
        <w:rPr>
          <w:rFonts w:hint="eastAsia" w:ascii="Times New Roman" w:hAnsi="Times New Roman"/>
          <w:bCs/>
          <w:sz w:val="24"/>
          <w:lang w:val="en-US" w:eastAsia="zh-CN"/>
        </w:rPr>
        <w:t>lingao</w:t>
      </w:r>
      <w:r>
        <w:rPr>
          <w:rFonts w:hint="eastAsia" w:ascii="Times New Roman" w:hAnsi="Times New Roman"/>
          <w:bCs/>
          <w:sz w:val="24"/>
        </w:rPr>
        <w:t>.nongjiao.com）申请承租（受让）</w:t>
      </w:r>
      <w:r>
        <w:rPr>
          <w:rFonts w:hint="eastAsia" w:ascii="新宋体" w:hAnsi="新宋体" w:eastAsia="新宋体"/>
          <w:b/>
          <w:bCs/>
          <w:color w:val="C00000"/>
          <w:sz w:val="28"/>
          <w:szCs w:val="28"/>
          <w:u w:val="single"/>
          <w:lang w:val="en-US" w:eastAsia="zh-CN"/>
        </w:rPr>
        <w:t>临高县多文镇头龙村委会112.2亩鱼塘出租</w:t>
      </w:r>
      <w:r>
        <w:rPr>
          <w:rFonts w:hint="eastAsia" w:ascii="Times New Roman" w:hAnsi="Times New Roman"/>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w:t>
      </w:r>
      <w:r>
        <w:rPr>
          <w:rFonts w:hint="eastAsia" w:ascii="Times New Roman" w:hAnsi="Times New Roman"/>
          <w:b/>
          <w:sz w:val="24"/>
          <w:lang w:eastAsia="zh-CN"/>
        </w:rPr>
        <w:t>临高农村产权交易中心</w:t>
      </w:r>
      <w:r>
        <w:rPr>
          <w:rFonts w:hint="eastAsia" w:ascii="Times New Roman" w:hAnsi="Times New Roman"/>
          <w:b/>
          <w:sz w:val="24"/>
        </w:rPr>
        <w:t>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7" w:name="_Toc11532"/>
      <w:bookmarkStart w:id="18" w:name="_Toc28981"/>
      <w:bookmarkStart w:id="19" w:name="_Toc13357"/>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20" w:name="_Toc7009"/>
      <w:bookmarkStart w:id="21" w:name="_Toc31003"/>
      <w:bookmarkStart w:id="22" w:name="_Toc24611"/>
      <w:r>
        <w:rPr>
          <w:rFonts w:hint="eastAsia" w:ascii="Times New Roman" w:hAnsi="Times New Roman"/>
          <w:b/>
          <w:sz w:val="24"/>
          <w:szCs w:val="24"/>
        </w:rPr>
        <w:t>10、最终解释权归</w:t>
      </w:r>
      <w:r>
        <w:rPr>
          <w:rFonts w:hint="eastAsia" w:ascii="Times New Roman" w:hAnsi="Times New Roman"/>
          <w:b/>
          <w:sz w:val="24"/>
          <w:szCs w:val="24"/>
          <w:lang w:val="en-US" w:eastAsia="zh-CN"/>
        </w:rPr>
        <w:t>临高农村产权交易中心</w:t>
      </w:r>
      <w:r>
        <w:rPr>
          <w:rFonts w:hint="eastAsia" w:ascii="Times New Roman" w:hAnsi="Times New Roman"/>
          <w:b/>
          <w:sz w:val="24"/>
          <w:szCs w:val="24"/>
        </w:rPr>
        <w:t>。</w:t>
      </w:r>
      <w:bookmarkEnd w:id="20"/>
      <w:bookmarkEnd w:id="21"/>
      <w:bookmarkEnd w:id="22"/>
    </w:p>
    <w:p w14:paraId="7080055C">
      <w:pPr>
        <w:spacing w:line="312" w:lineRule="auto"/>
        <w:ind w:firstLine="3840" w:firstLineChars="1600"/>
        <w:rPr>
          <w:rFonts w:ascii="宋体" w:hAnsi="宋体" w:eastAsia="宋体" w:cs="宋体"/>
          <w:sz w:val="24"/>
        </w:rPr>
      </w:pPr>
    </w:p>
    <w:p w14:paraId="4CD2AC17">
      <w:pPr>
        <w:spacing w:line="296" w:lineRule="auto"/>
        <w:ind w:firstLine="3840" w:firstLineChars="1600"/>
        <w:rPr>
          <w:rFonts w:ascii="宋体" w:hAnsi="宋体" w:eastAsia="宋体" w:cs="宋体"/>
          <w:sz w:val="24"/>
          <w:u w:val="single"/>
        </w:rPr>
      </w:pPr>
      <w:bookmarkStart w:id="23" w:name="_Toc4535"/>
      <w:bookmarkStart w:id="24" w:name="_Toc29057"/>
      <w:bookmarkStart w:id="25" w:name="_Toc30986"/>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60100DA8">
      <w:pPr>
        <w:spacing w:line="296" w:lineRule="auto"/>
        <w:ind w:firstLine="3840" w:firstLineChars="1600"/>
        <w:outlineLvl w:val="1"/>
        <w:rPr>
          <w:rFonts w:ascii="宋体" w:hAnsi="宋体" w:eastAsia="宋体" w:cs="宋体"/>
          <w:sz w:val="24"/>
          <w:u w:val="single"/>
        </w:rPr>
      </w:pPr>
      <w:bookmarkStart w:id="26" w:name="_Toc9059"/>
      <w:bookmarkStart w:id="27" w:name="_Toc17490"/>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43F8999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69D232EF">
      <w:pPr>
        <w:pStyle w:val="3"/>
        <w:spacing w:line="240" w:lineRule="auto"/>
        <w:rPr>
          <w:rFonts w:ascii="黑体" w:hAnsi="黑体"/>
          <w:color w:val="000000"/>
        </w:rPr>
      </w:pPr>
      <w:bookmarkStart w:id="28" w:name="_Toc12264"/>
      <w:bookmarkStart w:id="29" w:name="_Toc13094"/>
      <w:bookmarkStart w:id="30" w:name="_Toc11237"/>
      <w:bookmarkStart w:id="31" w:name="_Toc4580"/>
      <w:bookmarkStart w:id="32" w:name="_Toc14469"/>
      <w:bookmarkStart w:id="33" w:name="_Toc29841"/>
      <w:bookmarkStart w:id="34" w:name="_Toc32101"/>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4"/>
              <w:rPr>
                <w:rFonts w:hint="default" w:eastAsiaTheme="minorEastAsia"/>
                <w:lang w:val="en-US" w:eastAsia="zh-CN"/>
              </w:rPr>
            </w:pPr>
            <w:r>
              <w:rPr>
                <w:rFonts w:hint="eastAsia"/>
                <w:lang w:val="en-US" w:eastAsia="zh-CN"/>
              </w:rPr>
              <w:t xml:space="preserve">     </w:t>
            </w: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7"/>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7"/>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7"/>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7"/>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7"/>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7"/>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center"/>
              <w:rPr>
                <w:rFonts w:hint="default" w:ascii="宋体" w:hAnsi="宋体" w:eastAsia="宋体"/>
                <w:sz w:val="22"/>
                <w:lang w:val="en-US" w:eastAsia="zh-CN"/>
              </w:rPr>
            </w:pP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bookmarkStart w:id="36" w:name="_GoBack"/>
            <w:bookmarkEnd w:id="36"/>
          </w:p>
        </w:tc>
      </w:tr>
      <w:tr w14:paraId="029344FE">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rPr>
            </w:pPr>
            <w:r>
              <w:rPr>
                <w:rFonts w:hint="eastAsia" w:ascii="宋体" w:hAnsi="宋体" w:eastAsia="宋体"/>
                <w:bCs/>
                <w:sz w:val="22"/>
              </w:rPr>
              <w:t>法人单位</w:t>
            </w:r>
          </w:p>
          <w:p w14:paraId="6D855367">
            <w:pPr>
              <w:spacing w:line="360" w:lineRule="auto"/>
              <w:jc w:val="center"/>
              <w:rPr>
                <w:rFonts w:ascii="宋体" w:hAnsi="宋体" w:eastAsia="宋体"/>
                <w:bCs/>
                <w:sz w:val="22"/>
              </w:rPr>
            </w:pPr>
            <w:r>
              <w:rPr>
                <w:rFonts w:hint="eastAsia" w:ascii="宋体" w:hAnsi="宋体" w:eastAsia="宋体"/>
                <w:bCs/>
                <w:sz w:val="22"/>
              </w:rPr>
              <w:t>（如农业企业，</w:t>
            </w:r>
          </w:p>
          <w:p w14:paraId="63EA6963">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6322EF9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0E11F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57F75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48042F2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6EA484DC">
      <w:pPr>
        <w:spacing w:line="570" w:lineRule="exact"/>
        <w:jc w:val="center"/>
        <w:rPr>
          <w:rFonts w:hint="eastAsia" w:ascii="方正小标宋简体" w:hAnsi="方正小标宋简体" w:eastAsia="方正小标宋简体" w:cs="方正小标宋简体"/>
          <w:b/>
          <w:bCs/>
          <w:sz w:val="36"/>
          <w:szCs w:val="36"/>
          <w:u w:val="single"/>
        </w:rPr>
      </w:pPr>
    </w:p>
    <w:p w14:paraId="116CDDBA">
      <w:pPr>
        <w:spacing w:line="570" w:lineRule="exact"/>
        <w:jc w:val="center"/>
        <w:rPr>
          <w:rFonts w:hint="eastAsia" w:ascii="方正小标宋简体" w:hAnsi="方正小标宋简体" w:eastAsia="方正小标宋简体" w:cs="方正小标宋简体"/>
          <w:b/>
          <w:bCs/>
          <w:sz w:val="36"/>
          <w:szCs w:val="36"/>
          <w:u w:val="single"/>
        </w:rPr>
      </w:pPr>
    </w:p>
    <w:p w14:paraId="28A2DEE1">
      <w:pPr>
        <w:spacing w:line="570" w:lineRule="exact"/>
        <w:jc w:val="center"/>
        <w:rPr>
          <w:rFonts w:hint="eastAsia" w:ascii="方正小标宋简体" w:hAnsi="方正小标宋简体" w:eastAsia="方正小标宋简体" w:cs="方正小标宋简体"/>
          <w:b/>
          <w:bCs/>
          <w:sz w:val="36"/>
          <w:szCs w:val="36"/>
          <w:u w:val="single"/>
        </w:rPr>
      </w:pPr>
    </w:p>
    <w:p w14:paraId="76A1D201">
      <w:pPr>
        <w:spacing w:line="570" w:lineRule="exact"/>
        <w:jc w:val="center"/>
        <w:rPr>
          <w:rFonts w:hint="eastAsia" w:ascii="方正小标宋_GBK" w:hAnsi="方正小标宋_GBK" w:eastAsia="方正小标宋_GBK" w:cs="方正小标宋_GBK"/>
          <w:b/>
          <w:bCs/>
          <w:color w:val="C00000"/>
          <w:sz w:val="36"/>
          <w:szCs w:val="36"/>
          <w:lang w:val="en-US" w:eastAsia="zh-CN"/>
        </w:rPr>
      </w:pPr>
      <w:r>
        <w:rPr>
          <w:rFonts w:hint="eastAsia" w:ascii="方正小标宋_GBK" w:hAnsi="方正小标宋_GBK" w:eastAsia="方正小标宋_GBK" w:cs="方正小标宋_GBK"/>
          <w:b/>
          <w:bCs/>
          <w:color w:val="C00000"/>
          <w:sz w:val="36"/>
          <w:szCs w:val="36"/>
          <w:lang w:val="en-US" w:eastAsia="zh-CN"/>
        </w:rPr>
        <w:t>临高县多文镇头龙村委会112.2亩鱼塘出租</w:t>
      </w: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shd w:val="clear" w:color="auto" w:fill="auto"/>
        <w:spacing w:line="240" w:lineRule="auto"/>
        <w:jc w:val="center"/>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val="en-US" w:eastAsia="zh-CN"/>
        </w:rPr>
        <w:t>临高县多文镇头龙村股份经济合作联合社</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cstheme="minorEastAsia"/>
          <w:color w:val="C00000"/>
          <w:sz w:val="32"/>
          <w:szCs w:val="32"/>
          <w:u w:val="single"/>
          <w:lang w:val="en-US" w:eastAsia="zh-CN"/>
        </w:rPr>
        <w:t>临高县多文镇头龙村委会112.2亩鱼塘出租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临高农村产权交易中心(以下简称“农交中心”)网站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lingao</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eastAsia="zh-CN"/>
        </w:rPr>
        <w:t>发包</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51C52CF7">
      <w:pPr>
        <w:spacing w:line="520" w:lineRule="exact"/>
        <w:ind w:firstLine="560" w:firstLineChars="200"/>
        <w:rPr>
          <w:rFonts w:hint="eastAsia" w:asciiTheme="minorEastAsia" w:hAnsiTheme="minorEastAsia" w:cstheme="minorEastAsia"/>
          <w:color w:val="C00000"/>
          <w:sz w:val="32"/>
          <w:szCs w:val="32"/>
          <w:lang w:val="en-US" w:eastAsia="zh-CN"/>
        </w:rPr>
      </w:pPr>
      <w:r>
        <w:rPr>
          <w:rFonts w:hint="eastAsia" w:asciiTheme="minorEastAsia" w:hAnsiTheme="minorEastAsia" w:eastAsiaTheme="minorEastAsia" w:cstheme="minorEastAsia"/>
          <w:sz w:val="28"/>
          <w:szCs w:val="28"/>
        </w:rPr>
        <w:t>标的名称：</w:t>
      </w:r>
      <w:r>
        <w:rPr>
          <w:rFonts w:hint="eastAsia" w:asciiTheme="minorEastAsia" w:hAnsiTheme="minorEastAsia" w:cstheme="minorEastAsia"/>
          <w:color w:val="C00000"/>
          <w:sz w:val="32"/>
          <w:szCs w:val="32"/>
          <w:lang w:val="en-US" w:eastAsia="zh-CN"/>
        </w:rPr>
        <w:t>临高县多文镇头龙村委会112.2亩鱼塘出租</w:t>
      </w:r>
    </w:p>
    <w:p w14:paraId="534374CE">
      <w:pPr>
        <w:spacing w:line="520" w:lineRule="exact"/>
        <w:ind w:left="559" w:leftChars="266" w:firstLine="0" w:firstLineChars="0"/>
        <w:rPr>
          <w:rFonts w:hint="eastAsia" w:asciiTheme="minorEastAsia" w:hAnsiTheme="minorEastAsia" w:cstheme="minorEastAsia"/>
          <w:color w:val="C00000"/>
          <w:sz w:val="32"/>
          <w:szCs w:val="32"/>
          <w:lang w:val="en-US" w:eastAsia="zh-CN"/>
        </w:rPr>
      </w:pPr>
      <w:r>
        <w:rPr>
          <w:rFonts w:hint="eastAsia" w:asciiTheme="minorEastAsia" w:hAnsiTheme="minorEastAsia" w:cstheme="minorEastAsia"/>
          <w:sz w:val="28"/>
          <w:szCs w:val="28"/>
          <w:lang w:val="en-US" w:eastAsia="zh-CN"/>
        </w:rPr>
        <w:t>发包</w:t>
      </w:r>
      <w:r>
        <w:rPr>
          <w:rFonts w:hint="eastAsia" w:asciiTheme="minorEastAsia" w:hAnsiTheme="minorEastAsia" w:eastAsiaTheme="minorEastAsia" w:cstheme="minorEastAsia"/>
          <w:sz w:val="28"/>
          <w:szCs w:val="28"/>
          <w:lang w:val="en-US" w:eastAsia="zh-CN"/>
        </w:rPr>
        <w:t>方：</w:t>
      </w:r>
      <w:r>
        <w:rPr>
          <w:rFonts w:hint="eastAsia" w:asciiTheme="minorEastAsia" w:hAnsiTheme="minorEastAsia" w:cstheme="minorEastAsia"/>
          <w:color w:val="C00000"/>
          <w:sz w:val="32"/>
          <w:szCs w:val="32"/>
          <w:lang w:val="en-US" w:eastAsia="zh-CN"/>
        </w:rPr>
        <w:t>临高县多文镇头龙村股份经济合作联合社</w:t>
      </w:r>
    </w:p>
    <w:p w14:paraId="644CB298">
      <w:pPr>
        <w:spacing w:line="520" w:lineRule="exact"/>
        <w:ind w:left="559" w:leftChars="266" w:firstLine="0" w:firstLineChars="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eastAsia="zh-CN"/>
        </w:rPr>
        <w:t>发包</w:t>
      </w:r>
      <w:r>
        <w:rPr>
          <w:rFonts w:hint="eastAsia" w:asciiTheme="minorEastAsia" w:hAnsiTheme="minorEastAsia" w:eastAsiaTheme="minorEastAsia" w:cstheme="minorEastAsia"/>
          <w:sz w:val="28"/>
          <w:szCs w:val="28"/>
        </w:rPr>
        <w:t>面积：</w:t>
      </w:r>
      <w:r>
        <w:rPr>
          <w:rFonts w:hint="eastAsia" w:asciiTheme="minorEastAsia" w:hAnsiTheme="minorEastAsia" w:cstheme="minorEastAsia"/>
          <w:sz w:val="28"/>
          <w:szCs w:val="28"/>
          <w:lang w:val="en-US" w:eastAsia="zh-CN"/>
        </w:rPr>
        <w:t>112.2亩</w:t>
      </w:r>
    </w:p>
    <w:p w14:paraId="6152C591">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流转</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10年</w:t>
      </w:r>
    </w:p>
    <w:p w14:paraId="1939C790">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w:t>
      </w:r>
      <w:r>
        <w:rPr>
          <w:rFonts w:hint="eastAsia" w:asciiTheme="minorEastAsia" w:hAnsiTheme="minorEastAsia" w:cstheme="minorEastAsia"/>
          <w:b w:val="0"/>
          <w:bCs w:val="0"/>
          <w:color w:val="auto"/>
          <w:sz w:val="28"/>
          <w:szCs w:val="28"/>
          <w:highlight w:val="none"/>
          <w:u w:val="none"/>
          <w:lang w:val="en-US" w:eastAsia="zh-CN"/>
        </w:rPr>
        <w:t>底价</w:t>
      </w:r>
      <w:r>
        <w:rPr>
          <w:rFonts w:hint="eastAsia" w:asciiTheme="minorEastAsia" w:hAnsiTheme="minorEastAsia" w:eastAsiaTheme="minorEastAsia" w:cstheme="minorEastAsia"/>
          <w:b w:val="0"/>
          <w:bCs w:val="0"/>
          <w:color w:val="auto"/>
          <w:sz w:val="28"/>
          <w:szCs w:val="28"/>
          <w:highlight w:val="none"/>
          <w:u w:val="none"/>
          <w:lang w:val="en-US" w:eastAsia="zh-CN"/>
        </w:rPr>
        <w:t>：</w:t>
      </w:r>
      <w:r>
        <w:rPr>
          <w:rFonts w:hint="eastAsia" w:asciiTheme="minorEastAsia" w:hAnsiTheme="minorEastAsia" w:cstheme="minorEastAsia"/>
          <w:b w:val="0"/>
          <w:bCs w:val="0"/>
          <w:color w:val="auto"/>
          <w:sz w:val="28"/>
          <w:szCs w:val="28"/>
          <w:highlight w:val="none"/>
          <w:u w:val="none"/>
          <w:lang w:val="en-US" w:eastAsia="zh-CN"/>
        </w:rPr>
        <w:t>67320元/年</w:t>
      </w:r>
    </w:p>
    <w:p w14:paraId="11DF4CF2">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 xml:space="preserve">报名保证金 </w:t>
      </w:r>
      <w:r>
        <w:rPr>
          <w:rFonts w:hint="eastAsia" w:asciiTheme="minorEastAsia" w:hAnsiTheme="minorEastAsia" w:cstheme="minorEastAsia"/>
          <w:b w:val="0"/>
          <w:bCs w:val="0"/>
          <w:color w:val="auto"/>
          <w:sz w:val="28"/>
          <w:szCs w:val="28"/>
          <w:highlight w:val="none"/>
          <w:u w:val="none"/>
          <w:lang w:val="en-US" w:eastAsia="zh-CN"/>
        </w:rPr>
        <w:t>：14000元</w:t>
      </w:r>
    </w:p>
    <w:p w14:paraId="3C67C08C">
      <w:pPr>
        <w:spacing w:line="520" w:lineRule="exact"/>
        <w:ind w:firstLine="560" w:firstLineChars="200"/>
        <w:rPr>
          <w:rFonts w:hint="eastAsia" w:asciiTheme="minorEastAsia" w:hAnsiTheme="minorEastAsia" w:eastAsiaTheme="minorEastAsia" w:cstheme="minorEastAsia"/>
          <w:b/>
          <w:bCs/>
          <w:sz w:val="28"/>
          <w:szCs w:val="28"/>
          <w:lang w:eastAsia="zh-CN"/>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30</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9</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:00</w:t>
      </w:r>
    </w:p>
    <w:p w14:paraId="4CA22FF1">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10 </w:t>
      </w:r>
      <w:r>
        <w:rPr>
          <w:rFonts w:hint="eastAsia" w:asciiTheme="minorEastAsia" w:hAnsiTheme="minorEastAsia" w:eastAsiaTheme="minorEastAsia" w:cstheme="minorEastAsia"/>
          <w:sz w:val="28"/>
          <w:szCs w:val="28"/>
        </w:rPr>
        <w:t>10:00至202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10 </w:t>
      </w:r>
      <w:r>
        <w:rPr>
          <w:rFonts w:hint="eastAsia" w:asciiTheme="minorEastAsia" w:hAnsiTheme="minorEastAsia" w:eastAsiaTheme="minorEastAsia" w:cstheme="minorEastAsia"/>
          <w:sz w:val="28"/>
          <w:szCs w:val="28"/>
        </w:rPr>
        <w:t>16:00</w:t>
      </w:r>
    </w:p>
    <w:p w14:paraId="74B1D640">
      <w:pPr>
        <w:spacing w:line="520" w:lineRule="exact"/>
        <w:ind w:firstLine="560" w:firstLineChars="200"/>
        <w:rPr>
          <w:rFonts w:hint="eastAsia" w:ascii="宋体" w:hAnsi="宋体" w:eastAsia="宋体" w:cs="宋体"/>
          <w:color w:val="auto"/>
          <w:sz w:val="24"/>
          <w:szCs w:val="24"/>
          <w:highlight w:val="none"/>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 xml:space="preserve"> 租金按一年一付，每5年递增5%</w:t>
      </w:r>
    </w:p>
    <w:p w14:paraId="6DD48850">
      <w:pPr>
        <w:spacing w:line="520" w:lineRule="exact"/>
        <w:ind w:firstLine="560" w:firstLineChars="200"/>
        <w:rPr>
          <w:rFonts w:hint="default"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符先生18876819216</w:t>
      </w:r>
    </w:p>
    <w:p w14:paraId="7934A578">
      <w:pPr>
        <w:spacing w:line="520" w:lineRule="exact"/>
        <w:ind w:firstLine="3080" w:firstLineChars="1100"/>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陈女士17803698162</w:t>
      </w:r>
    </w:p>
    <w:p w14:paraId="5F96D41D">
      <w:pPr>
        <w:spacing w:line="520" w:lineRule="exact"/>
        <w:ind w:firstLine="3080" w:firstLineChars="1100"/>
        <w:rPr>
          <w:rFonts w:hint="default"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王女士13876058465</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12345</w:t>
      </w:r>
    </w:p>
    <w:p w14:paraId="69C6789A">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临高县临城镇市政大道32号海南农商银行临高支行</w:t>
      </w:r>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lingao</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4F27A6D7">
      <w:pPr>
        <w:spacing w:line="570" w:lineRule="exact"/>
        <w:jc w:val="both"/>
        <w:rPr>
          <w:rFonts w:ascii="宋体" w:hAnsi="宋体" w:eastAsia="宋体" w:cs="宋体"/>
          <w:sz w:val="28"/>
          <w:szCs w:val="28"/>
          <w:u w:val="single"/>
        </w:rPr>
      </w:pPr>
    </w:p>
    <w:p w14:paraId="5F35A458">
      <w:pPr>
        <w:spacing w:line="570" w:lineRule="exact"/>
        <w:jc w:val="both"/>
        <w:rPr>
          <w:rFonts w:hint="eastAsia" w:ascii="宋体" w:hAnsi="宋体" w:eastAsia="宋体" w:cs="宋体"/>
          <w:sz w:val="28"/>
          <w:szCs w:val="28"/>
          <w:u w:val="single"/>
          <w:lang w:eastAsia="zh-CN"/>
        </w:rPr>
      </w:pPr>
    </w:p>
    <w:p w14:paraId="4D04BE9E">
      <w:pPr>
        <w:spacing w:line="570" w:lineRule="exact"/>
        <w:jc w:val="both"/>
        <w:rPr>
          <w:rFonts w:ascii="宋体" w:hAnsi="宋体" w:eastAsia="宋体" w:cs="宋体"/>
          <w:sz w:val="28"/>
          <w:szCs w:val="28"/>
          <w:u w:val="single"/>
        </w:rPr>
      </w:pPr>
      <w:r>
        <w:rPr>
          <w:rFonts w:hint="eastAsia" w:ascii="宋体" w:hAnsi="宋体" w:eastAsia="宋体" w:cs="宋体"/>
          <w:sz w:val="28"/>
          <w:szCs w:val="28"/>
          <w:u w:val="single"/>
          <w:lang w:eastAsia="zh-CN"/>
        </w:rPr>
        <w:drawing>
          <wp:anchor distT="0" distB="0" distL="114300" distR="114300" simplePos="0" relativeHeight="251663360" behindDoc="1" locked="0" layoutInCell="1" allowOverlap="1">
            <wp:simplePos x="0" y="0"/>
            <wp:positionH relativeFrom="column">
              <wp:posOffset>0</wp:posOffset>
            </wp:positionH>
            <wp:positionV relativeFrom="paragraph">
              <wp:posOffset>-586740</wp:posOffset>
            </wp:positionV>
            <wp:extent cx="868045" cy="868045"/>
            <wp:effectExtent l="0" t="0" r="8255" b="8255"/>
            <wp:wrapTight wrapText="bothSides">
              <wp:wrapPolygon>
                <wp:start x="0" y="0"/>
                <wp:lineTo x="0" y="21331"/>
                <wp:lineTo x="21331" y="21331"/>
                <wp:lineTo x="21331" y="0"/>
                <wp:lineTo x="0" y="0"/>
              </wp:wrapPolygon>
            </wp:wrapTight>
            <wp:docPr id="1" name="图片 1" descr="0a7e1229b2f199a5f94b5b9bdf56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a7e1229b2f199a5f94b5b9bdf56512"/>
                    <pic:cNvPicPr>
                      <a:picLocks noChangeAspect="1"/>
                    </pic:cNvPicPr>
                  </pic:nvPicPr>
                  <pic:blipFill>
                    <a:blip r:embed="rId5"/>
                    <a:stretch>
                      <a:fillRect/>
                    </a:stretch>
                  </pic:blipFill>
                  <pic:spPr>
                    <a:xfrm>
                      <a:off x="0" y="0"/>
                      <a:ext cx="868045" cy="868045"/>
                    </a:xfrm>
                    <a:prstGeom prst="rect">
                      <a:avLst/>
                    </a:prstGeom>
                  </pic:spPr>
                </pic:pic>
              </a:graphicData>
            </a:graphic>
          </wp:anchor>
        </w:drawing>
      </w: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923ADD">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332DA1">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B332DA1">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25DA0"/>
    <w:rsid w:val="00075E67"/>
    <w:rsid w:val="00125DA0"/>
    <w:rsid w:val="00167AC6"/>
    <w:rsid w:val="00B57B36"/>
    <w:rsid w:val="00CD7376"/>
    <w:rsid w:val="00E03B4E"/>
    <w:rsid w:val="00E541D7"/>
    <w:rsid w:val="011B32B7"/>
    <w:rsid w:val="021C29C7"/>
    <w:rsid w:val="070E6657"/>
    <w:rsid w:val="09077801"/>
    <w:rsid w:val="0A8721A0"/>
    <w:rsid w:val="0B7B2128"/>
    <w:rsid w:val="0B985CD3"/>
    <w:rsid w:val="0CD67C16"/>
    <w:rsid w:val="0E9816ED"/>
    <w:rsid w:val="0EF64BA6"/>
    <w:rsid w:val="10396E71"/>
    <w:rsid w:val="105772C0"/>
    <w:rsid w:val="11DE52CB"/>
    <w:rsid w:val="132D209C"/>
    <w:rsid w:val="148D1503"/>
    <w:rsid w:val="150A3847"/>
    <w:rsid w:val="16C136E5"/>
    <w:rsid w:val="16D93709"/>
    <w:rsid w:val="18E10F33"/>
    <w:rsid w:val="1A0C35CC"/>
    <w:rsid w:val="1A626F8D"/>
    <w:rsid w:val="1CE74D57"/>
    <w:rsid w:val="205C18F7"/>
    <w:rsid w:val="20BE4E97"/>
    <w:rsid w:val="2163678E"/>
    <w:rsid w:val="23C4301C"/>
    <w:rsid w:val="2741574C"/>
    <w:rsid w:val="29A96C5C"/>
    <w:rsid w:val="2C765212"/>
    <w:rsid w:val="30AA01BC"/>
    <w:rsid w:val="30B56AE1"/>
    <w:rsid w:val="30CE55FA"/>
    <w:rsid w:val="317C672F"/>
    <w:rsid w:val="327E6635"/>
    <w:rsid w:val="3321133C"/>
    <w:rsid w:val="347A51A8"/>
    <w:rsid w:val="3516702D"/>
    <w:rsid w:val="356B5D48"/>
    <w:rsid w:val="36257C7B"/>
    <w:rsid w:val="37E601A9"/>
    <w:rsid w:val="380361CD"/>
    <w:rsid w:val="3A7A2C02"/>
    <w:rsid w:val="3D124BF3"/>
    <w:rsid w:val="3D922FE7"/>
    <w:rsid w:val="3EE84C2D"/>
    <w:rsid w:val="3F220916"/>
    <w:rsid w:val="40176161"/>
    <w:rsid w:val="409F10ED"/>
    <w:rsid w:val="42EC1909"/>
    <w:rsid w:val="43315BEC"/>
    <w:rsid w:val="43AD1C7C"/>
    <w:rsid w:val="4486772E"/>
    <w:rsid w:val="44912C24"/>
    <w:rsid w:val="477C493B"/>
    <w:rsid w:val="47C03328"/>
    <w:rsid w:val="48350522"/>
    <w:rsid w:val="48F422BB"/>
    <w:rsid w:val="4A7A6DBA"/>
    <w:rsid w:val="4C122427"/>
    <w:rsid w:val="4CD73773"/>
    <w:rsid w:val="4D440E1C"/>
    <w:rsid w:val="4DC33073"/>
    <w:rsid w:val="4E3F7559"/>
    <w:rsid w:val="4ECE0172"/>
    <w:rsid w:val="50804CA1"/>
    <w:rsid w:val="51516E47"/>
    <w:rsid w:val="551123C4"/>
    <w:rsid w:val="5BD329C8"/>
    <w:rsid w:val="5CF93C67"/>
    <w:rsid w:val="62920BC0"/>
    <w:rsid w:val="637A7D59"/>
    <w:rsid w:val="639B14F1"/>
    <w:rsid w:val="64515E2E"/>
    <w:rsid w:val="64D61FAB"/>
    <w:rsid w:val="68790CF7"/>
    <w:rsid w:val="69A739D7"/>
    <w:rsid w:val="6D30394E"/>
    <w:rsid w:val="7020414E"/>
    <w:rsid w:val="73C6500C"/>
    <w:rsid w:val="76312BA1"/>
    <w:rsid w:val="786A7F85"/>
    <w:rsid w:val="791505B4"/>
    <w:rsid w:val="7A7C6A82"/>
    <w:rsid w:val="7A8615E4"/>
    <w:rsid w:val="7D051392"/>
    <w:rsid w:val="7EC1633B"/>
    <w:rsid w:val="7EF01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4">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0"/>
    <w:autoRedefine/>
    <w:qFormat/>
    <w:uiPriority w:val="0"/>
    <w:pPr>
      <w:tabs>
        <w:tab w:val="center" w:pos="4153"/>
        <w:tab w:val="right" w:pos="8306"/>
      </w:tabs>
      <w:snapToGrid w:val="0"/>
      <w:jc w:val="left"/>
    </w:pPr>
    <w:rPr>
      <w:sz w:val="18"/>
      <w:szCs w:val="18"/>
    </w:rPr>
  </w:style>
  <w:style w:type="paragraph" w:styleId="10">
    <w:name w:val="header"/>
    <w:basedOn w:val="1"/>
    <w:link w:val="19"/>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character" w:customStyle="1" w:styleId="15">
    <w:name w:val="标题4 Char"/>
    <w:link w:val="16"/>
    <w:autoRedefine/>
    <w:qFormat/>
    <w:locked/>
    <w:uiPriority w:val="0"/>
    <w:rPr>
      <w:rFonts w:eastAsia="宋体"/>
      <w:kern w:val="0"/>
      <w:sz w:val="36"/>
      <w:szCs w:val="20"/>
    </w:rPr>
  </w:style>
  <w:style w:type="paragraph" w:customStyle="1" w:styleId="16">
    <w:name w:val="标题4"/>
    <w:basedOn w:val="5"/>
    <w:link w:val="15"/>
    <w:autoRedefine/>
    <w:qFormat/>
    <w:uiPriority w:val="0"/>
    <w:rPr>
      <w:rFonts w:eastAsia="宋体"/>
      <w:kern w:val="0"/>
      <w:sz w:val="36"/>
      <w:szCs w:val="20"/>
    </w:rPr>
  </w:style>
  <w:style w:type="paragraph" w:customStyle="1" w:styleId="17">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autoRedefine/>
    <w:qFormat/>
    <w:uiPriority w:val="0"/>
    <w:rPr>
      <w:rFonts w:asciiTheme="minorHAnsi" w:hAnsiTheme="minorHAnsi" w:eastAsiaTheme="minorEastAsia" w:cstheme="minorBidi"/>
      <w:lang w:val="en-US" w:eastAsia="zh-CN" w:bidi="ar-SA"/>
    </w:rPr>
  </w:style>
  <w:style w:type="character" w:customStyle="1" w:styleId="19">
    <w:name w:val="页眉 字符"/>
    <w:basedOn w:val="14"/>
    <w:link w:val="10"/>
    <w:autoRedefine/>
    <w:qFormat/>
    <w:uiPriority w:val="0"/>
    <w:rPr>
      <w:rFonts w:asciiTheme="minorHAnsi" w:hAnsiTheme="minorHAnsi" w:eastAsiaTheme="minorEastAsia" w:cstheme="minorBidi"/>
      <w:kern w:val="2"/>
      <w:sz w:val="18"/>
      <w:szCs w:val="18"/>
    </w:rPr>
  </w:style>
  <w:style w:type="character" w:customStyle="1" w:styleId="20">
    <w:name w:val="页脚 字符"/>
    <w:basedOn w:val="14"/>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6935</Words>
  <Characters>7339</Characters>
  <Lines>59</Lines>
  <Paragraphs>16</Paragraphs>
  <TotalTime>2</TotalTime>
  <ScaleCrop>false</ScaleCrop>
  <LinksUpToDate>false</LinksUpToDate>
  <CharactersWithSpaces>7832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Anyone</cp:lastModifiedBy>
  <dcterms:modified xsi:type="dcterms:W3CDTF">2025-10-29T09:05:31Z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1737232A60A04B7BB294C0C471D1378A_13</vt:lpwstr>
  </property>
  <property fmtid="{D5CDD505-2E9C-101B-9397-08002B2CF9AE}" pid="4" name="KSOTemplateDocerSaveRecord">
    <vt:lpwstr>eyJoZGlkIjoiMDVmODgwNGU3ODRhODkzZWQzYTY1ZWIzOTg2MTBmNWMiLCJ1c2VySWQiOiIxMTYxMjgxMTA5In0=</vt:lpwstr>
  </property>
</Properties>
</file>