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5737"/>
      <w:bookmarkStart w:id="1" w:name="_Toc32320"/>
      <w:bookmarkStart w:id="2" w:name="_Toc11918"/>
      <w:bookmarkStart w:id="3" w:name="_Toc20910"/>
      <w:bookmarkStart w:id="4" w:name="_Toc21422"/>
      <w:bookmarkStart w:id="5" w:name="_Toc24454"/>
      <w:bookmarkStart w:id="6" w:name="_Toc21762"/>
      <w:bookmarkStart w:id="7" w:name="_Toc13462"/>
      <w:bookmarkStart w:id="8" w:name="_Toc7615"/>
      <w:bookmarkStart w:id="9" w:name="_Toc25712"/>
      <w:bookmarkStart w:id="10" w:name="_Toc29002"/>
      <w:bookmarkStart w:id="11" w:name="_Toc12789"/>
      <w:bookmarkStart w:id="12" w:name="_Toc24727"/>
      <w:bookmarkStart w:id="13" w:name="_Toc8396"/>
      <w:bookmarkStart w:id="14" w:name="_Toc20033"/>
      <w:bookmarkStart w:id="15" w:name="_Toc24068"/>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澄迈县福山镇博才村委会昌球村109.64亩土地出租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13</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澄迈县福山镇博才村委会昌球村109.64亩土地出租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87712</w:t>
      </w:r>
      <w:r>
        <w:rPr>
          <w:rFonts w:hint="eastAsia" w:ascii="新宋体" w:hAnsi="新宋体" w:eastAsia="新宋体" w:cs="Times New Roman"/>
          <w:sz w:val="28"/>
          <w:szCs w:val="28"/>
        </w:rPr>
        <w:t>元/年。</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14</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澄迈县福山镇博才村委会昌球村109.64亩土地出租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澄迈县福山镇博才村委会昌球村109.64亩土地出租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澄迈县福山镇博才村委会昌球村109.64亩土地出租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澄迈县福山镇博才村委会昌球村109.64亩土地出租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28981"/>
      <w:bookmarkStart w:id="18" w:name="_Toc13357"/>
      <w:bookmarkStart w:id="19" w:name="_Toc11532"/>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24611"/>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30986"/>
      <w:bookmarkStart w:id="24" w:name="_Toc29057"/>
      <w:bookmarkStart w:id="25" w:name="_Toc4535"/>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17490"/>
      <w:bookmarkStart w:id="27" w:name="_Toc9059"/>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29841"/>
      <w:bookmarkStart w:id="29" w:name="_Toc4580"/>
      <w:bookmarkStart w:id="30" w:name="_Toc14469"/>
      <w:bookmarkStart w:id="31" w:name="_Toc12264"/>
      <w:bookmarkStart w:id="32" w:name="_Toc32101"/>
      <w:bookmarkStart w:id="33" w:name="_Toc11237"/>
      <w:bookmarkStart w:id="34" w:name="_Toc13094"/>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澄迈县福山镇博才村委会昌球村109.64亩土地出租交易公示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澄迈县福山镇博才村民委员会昌球村民小组</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澄迈县福山镇博才村委会昌球村109.64亩土地出租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澄迈县福山镇博才村委会昌球村109.64亩土地出租</w:t>
      </w:r>
    </w:p>
    <w:p w14:paraId="7C618435">
      <w:pPr>
        <w:spacing w:line="590" w:lineRule="exact"/>
        <w:ind w:left="559" w:leftChars="266"/>
        <w:rPr>
          <w:rFonts w:hint="eastAsia" w:asciiTheme="minorEastAsia" w:hAnsiTheme="minorEastAsia" w:cstheme="minorEastAsia"/>
          <w:b/>
          <w:bCs/>
          <w:color w:val="FF0000"/>
          <w:sz w:val="28"/>
          <w:szCs w:val="28"/>
          <w:u w:val="single"/>
        </w:rPr>
      </w:pPr>
      <w:r>
        <w:rPr>
          <w:rFonts w:hint="eastAsia" w:asciiTheme="minorEastAsia" w:hAnsiTheme="minorEastAsia" w:cstheme="minorEastAsia"/>
          <w:sz w:val="28"/>
          <w:szCs w:val="28"/>
        </w:rPr>
        <w:t>出租方：澄迈县福山镇博才村民委员会昌球村民小组</w:t>
      </w:r>
    </w:p>
    <w:p w14:paraId="4419D652">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109.64</w:t>
      </w:r>
      <w:r>
        <w:rPr>
          <w:rFonts w:hint="eastAsia" w:asciiTheme="minorEastAsia" w:hAnsiTheme="minorEastAsia" w:cstheme="minorEastAsia"/>
          <w:sz w:val="28"/>
          <w:szCs w:val="28"/>
        </w:rPr>
        <w:t>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年</w:t>
      </w:r>
    </w:p>
    <w:p w14:paraId="660A14C7">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87712</w:t>
      </w:r>
      <w:r>
        <w:rPr>
          <w:rFonts w:hint="eastAsia" w:asciiTheme="minorEastAsia" w:hAnsiTheme="minorEastAsia" w:cstheme="minorEastAsia"/>
          <w:sz w:val="28"/>
          <w:szCs w:val="28"/>
        </w:rPr>
        <w:t>元/年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17542</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13</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09100A1">
      <w:pPr>
        <w:spacing w:line="590" w:lineRule="exact"/>
        <w:ind w:firstLine="560" w:firstLineChars="200"/>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现场勘查联系方式：</w:t>
      </w:r>
      <w:bookmarkStart w:id="37" w:name="_GoBack"/>
      <w:bookmarkEnd w:id="37"/>
      <w:r>
        <w:rPr>
          <w:rFonts w:hint="eastAsia" w:asciiTheme="minorEastAsia" w:hAnsiTheme="minorEastAsia" w:cstheme="minorEastAsia"/>
          <w:sz w:val="28"/>
          <w:szCs w:val="28"/>
          <w:lang w:val="en-US" w:eastAsia="zh-CN"/>
        </w:rPr>
        <w:t>王文运</w:t>
      </w:r>
      <w:r>
        <w:rPr>
          <w:rFonts w:hint="eastAsia" w:asciiTheme="minorEastAsia" w:hAnsiTheme="minorEastAsia" w:cstheme="minorEastAsia"/>
          <w:sz w:val="28"/>
          <w:szCs w:val="28"/>
        </w:rPr>
        <w:t xml:space="preserve"> 13876929796</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E7DE02-E141-40DD-86FA-411497FAAB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BD2FF90-C0EC-426B-BF76-0F66B6CA35EF}"/>
  </w:font>
  <w:font w:name="仿宋_GB2312">
    <w:altName w:val="仿宋"/>
    <w:panose1 w:val="00000000000000000000"/>
    <w:charset w:val="86"/>
    <w:family w:val="modern"/>
    <w:pitch w:val="default"/>
    <w:sig w:usb0="00000000" w:usb1="00000000" w:usb2="00000000" w:usb3="00000000" w:csb0="00040000" w:csb1="00000000"/>
    <w:embedRegular r:id="rId3" w:fontKey="{61EB6C0C-ABDE-4F5F-8909-726D59F1A82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9E2A5F6A-5FFC-43CE-843A-C44D62B990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670C2E"/>
    <w:rsid w:val="03F37316"/>
    <w:rsid w:val="042277FF"/>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762630"/>
    <w:rsid w:val="51A46EB2"/>
    <w:rsid w:val="52531DCC"/>
    <w:rsid w:val="56073B1A"/>
    <w:rsid w:val="5B1B1E1C"/>
    <w:rsid w:val="5CF93C67"/>
    <w:rsid w:val="5D971A17"/>
    <w:rsid w:val="5E084751"/>
    <w:rsid w:val="5E415353"/>
    <w:rsid w:val="60716511"/>
    <w:rsid w:val="6180235A"/>
    <w:rsid w:val="61A86601"/>
    <w:rsid w:val="62AC763E"/>
    <w:rsid w:val="642A79DB"/>
    <w:rsid w:val="64515E2E"/>
    <w:rsid w:val="64D61FAB"/>
    <w:rsid w:val="66C801A8"/>
    <w:rsid w:val="69462C0F"/>
    <w:rsid w:val="69AF5041"/>
    <w:rsid w:val="6C0E3CC0"/>
    <w:rsid w:val="6C2445E8"/>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4012</Words>
  <Characters>4224</Characters>
  <Lines>287</Lines>
  <Paragraphs>260</Paragraphs>
  <TotalTime>86</TotalTime>
  <ScaleCrop>false</ScaleCrop>
  <LinksUpToDate>false</LinksUpToDate>
  <CharactersWithSpaces>4228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2025-11-04T03:04:12Z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