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17058">
      <w:pPr>
        <w:spacing w:before="156" w:beforeLines="50" w:after="156" w:afterLines="50" w:line="520" w:lineRule="exact"/>
        <w:jc w:val="center"/>
        <w:rPr>
          <w:rFonts w:ascii="仿宋" w:hAnsi="仿宋" w:eastAsia="仿宋"/>
          <w:b/>
          <w:bCs/>
          <w:color w:val="000000" w:themeColor="text1"/>
          <w:sz w:val="44"/>
          <w:szCs w:val="44"/>
          <w14:textFill>
            <w14:solidFill>
              <w14:schemeClr w14:val="tx1"/>
            </w14:solidFill>
          </w14:textFill>
        </w:rPr>
      </w:pPr>
      <w:r>
        <w:rPr>
          <w:rFonts w:hint="eastAsia" w:ascii="仿宋" w:hAnsi="仿宋" w:eastAsia="仿宋"/>
          <w:b/>
          <w:bCs/>
          <w:color w:val="000000" w:themeColor="text1"/>
          <w:sz w:val="44"/>
          <w:szCs w:val="44"/>
          <w14:textFill>
            <w14:solidFill>
              <w14:schemeClr w14:val="tx1"/>
            </w14:solidFill>
          </w14:textFill>
        </w:rPr>
        <w:t>毛感乡农产品加工</w:t>
      </w:r>
      <w:r>
        <w:rPr>
          <w:rFonts w:hint="eastAsia" w:ascii="仿宋" w:hAnsi="仿宋" w:eastAsia="仿宋"/>
          <w:b/>
          <w:bCs/>
          <w:color w:val="000000" w:themeColor="text1"/>
          <w:sz w:val="44"/>
          <w:szCs w:val="44"/>
          <w:lang w:val="en-US" w:eastAsia="zh-CN"/>
          <w14:textFill>
            <w14:solidFill>
              <w14:schemeClr w14:val="tx1"/>
            </w14:solidFill>
          </w14:textFill>
        </w:rPr>
        <w:t>厂</w:t>
      </w:r>
      <w:r>
        <w:rPr>
          <w:rFonts w:hint="eastAsia" w:ascii="仿宋" w:hAnsi="仿宋" w:eastAsia="仿宋"/>
          <w:b/>
          <w:bCs/>
          <w:color w:val="000000" w:themeColor="text1"/>
          <w:sz w:val="44"/>
          <w:szCs w:val="44"/>
          <w14:textFill>
            <w14:solidFill>
              <w14:schemeClr w14:val="tx1"/>
            </w14:solidFill>
          </w14:textFill>
        </w:rPr>
        <w:t>租赁协议</w:t>
      </w:r>
    </w:p>
    <w:p w14:paraId="6A08233A">
      <w:pPr>
        <w:spacing w:line="520" w:lineRule="exact"/>
        <w:rPr>
          <w:rFonts w:ascii="仿宋" w:hAnsi="仿宋" w:eastAsia="仿宋"/>
          <w:color w:val="000000" w:themeColor="text1"/>
          <w:sz w:val="30"/>
          <w:szCs w:val="30"/>
          <w14:textFill>
            <w14:solidFill>
              <w14:schemeClr w14:val="tx1"/>
            </w14:solidFill>
          </w14:textFill>
        </w:rPr>
      </w:pPr>
    </w:p>
    <w:p w14:paraId="4672E056">
      <w:pPr>
        <w:ind w:firstLine="321" w:firstLineChars="1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甲方：</w:t>
      </w:r>
      <w:r>
        <w:rPr>
          <w:rFonts w:hint="eastAsia" w:ascii="仿宋_GB2312" w:hAnsi="仿宋_GB2312" w:eastAsia="仿宋_GB2312" w:cs="仿宋_GB2312"/>
          <w:color w:val="000000" w:themeColor="text1"/>
          <w:sz w:val="32"/>
          <w:szCs w:val="32"/>
          <w14:textFill>
            <w14:solidFill>
              <w14:schemeClr w14:val="tx1"/>
            </w14:solidFill>
          </w14:textFill>
        </w:rPr>
        <w:t>保亭仙安毛感联村发展有限责任公司</w:t>
      </w:r>
    </w:p>
    <w:p w14:paraId="675AE635">
      <w:pPr>
        <w:spacing w:line="520" w:lineRule="exact"/>
        <w:rPr>
          <w:rFonts w:ascii="仿宋_GB2312" w:hAnsi="仿宋_GB2312" w:eastAsia="仿宋_GB2312" w:cs="仿宋_GB2312"/>
          <w:color w:val="000000" w:themeColor="text1"/>
          <w:sz w:val="32"/>
          <w:szCs w:val="32"/>
          <w14:textFill>
            <w14:solidFill>
              <w14:schemeClr w14:val="tx1"/>
            </w14:solidFill>
          </w14:textFill>
        </w:rPr>
      </w:pPr>
    </w:p>
    <w:p w14:paraId="47FA9D65">
      <w:pPr>
        <w:spacing w:line="520" w:lineRule="exact"/>
        <w:ind w:firstLine="321" w:firstLineChars="1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乙方：</w:t>
      </w:r>
    </w:p>
    <w:p w14:paraId="257A2D37">
      <w:pPr>
        <w:spacing w:line="520" w:lineRule="exact"/>
        <w:rPr>
          <w:rFonts w:ascii="仿宋_GB2312" w:hAnsi="仿宋_GB2312" w:eastAsia="仿宋_GB2312" w:cs="仿宋_GB2312"/>
          <w:color w:val="000000" w:themeColor="text1"/>
          <w:sz w:val="32"/>
          <w:szCs w:val="32"/>
          <w14:textFill>
            <w14:solidFill>
              <w14:schemeClr w14:val="tx1"/>
            </w14:solidFill>
          </w14:textFill>
        </w:rPr>
      </w:pPr>
    </w:p>
    <w:p w14:paraId="6B659CC1">
      <w:pPr>
        <w:widowControl/>
        <w:spacing w:line="57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本着自愿、公平、公正、互利共赢的原则，经甲乙双方共同协商同意，订立如下合同，共同遵守。</w:t>
      </w:r>
    </w:p>
    <w:p w14:paraId="0B8C8F7D">
      <w:pPr>
        <w:numPr>
          <w:ilvl w:val="0"/>
          <w:numId w:val="1"/>
        </w:num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租赁基地及用途</w:t>
      </w:r>
    </w:p>
    <w:p w14:paraId="5AB6DE7F">
      <w:pPr>
        <w:spacing w:line="570" w:lineRule="exact"/>
        <w:ind w:left="160" w:hanging="160" w:hangingChars="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甲方同意将坐落在海南省保亭黎族苗族自治县</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毛感乡南春村委会后方 </w:t>
      </w:r>
      <w:r>
        <w:rPr>
          <w:rFonts w:hint="eastAsia" w:ascii="仿宋_GB2312" w:hAnsi="仿宋_GB2312" w:eastAsia="仿宋_GB2312" w:cs="仿宋_GB2312"/>
          <w:color w:val="000000" w:themeColor="text1"/>
          <w:sz w:val="32"/>
          <w:szCs w:val="32"/>
          <w14:textFill>
            <w14:solidFill>
              <w14:schemeClr w14:val="tx1"/>
            </w14:solidFill>
          </w14:textFill>
        </w:rPr>
        <w:t>，建筑面积为</w:t>
      </w:r>
      <w:r>
        <w:rPr>
          <w:rFonts w:hint="eastAsia" w:ascii="仿宋_GB2312" w:hAnsi="仿宋_GB2312" w:eastAsia="仿宋_GB2312" w:cs="仿宋_GB2312"/>
          <w:color w:val="000000" w:themeColor="text1"/>
          <w:sz w:val="32"/>
          <w:szCs w:val="32"/>
          <w:u w:val="single"/>
          <w14:textFill>
            <w14:solidFill>
              <w14:schemeClr w14:val="tx1"/>
            </w14:solidFill>
          </w14:textFill>
        </w:rPr>
        <w:t>1165.96</w:t>
      </w:r>
      <w:r>
        <w:rPr>
          <w:rFonts w:hint="eastAsia" w:ascii="仿宋_GB2312" w:hAnsi="仿宋_GB2312" w:eastAsia="仿宋_GB2312" w:cs="仿宋_GB2312"/>
          <w:color w:val="000000" w:themeColor="text1"/>
          <w:sz w:val="32"/>
          <w:szCs w:val="32"/>
          <w14:textFill>
            <w14:solidFill>
              <w14:schemeClr w14:val="tx1"/>
            </w14:solidFill>
          </w14:textFill>
        </w:rPr>
        <w:t>平方米的3层加工厂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w:t>
      </w:r>
      <w:r>
        <w:rPr>
          <w:rFonts w:hint="eastAsia" w:ascii="仿宋_GB2312" w:hAnsi="仿宋_GB2312" w:eastAsia="仿宋_GB2312" w:cs="仿宋_GB2312"/>
          <w:color w:val="000000" w:themeColor="text1"/>
          <w:sz w:val="32"/>
          <w:szCs w:val="32"/>
          <w14:textFill>
            <w14:solidFill>
              <w14:schemeClr w14:val="tx1"/>
            </w14:solidFill>
          </w14:textFill>
        </w:rPr>
        <w:t>建筑面积为</w:t>
      </w:r>
      <w:r>
        <w:rPr>
          <w:rFonts w:hint="eastAsia" w:ascii="仿宋_GB2312" w:hAnsi="仿宋_GB2312" w:eastAsia="仿宋_GB2312" w:cs="仿宋_GB2312"/>
          <w:color w:val="000000" w:themeColor="text1"/>
          <w:sz w:val="32"/>
          <w:szCs w:val="32"/>
          <w:u w:val="single"/>
          <w14:textFill>
            <w14:solidFill>
              <w14:schemeClr w14:val="tx1"/>
            </w14:solidFill>
          </w14:textFill>
        </w:rPr>
        <w:t>116.6</w:t>
      </w:r>
      <w:r>
        <w:rPr>
          <w:rFonts w:hint="eastAsia" w:ascii="仿宋_GB2312" w:hAnsi="仿宋_GB2312" w:eastAsia="仿宋_GB2312" w:cs="仿宋_GB2312"/>
          <w:color w:val="000000" w:themeColor="text1"/>
          <w:sz w:val="32"/>
          <w:szCs w:val="32"/>
          <w14:textFill>
            <w14:solidFill>
              <w14:schemeClr w14:val="tx1"/>
            </w14:solidFill>
          </w14:textFill>
        </w:rPr>
        <w:t>平方米的品鉴馆（以下统一简称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加工厂</w:t>
      </w:r>
      <w:r>
        <w:rPr>
          <w:rFonts w:hint="eastAsia" w:ascii="仿宋_GB2312" w:hAnsi="仿宋_GB2312" w:eastAsia="仿宋_GB2312" w:cs="仿宋_GB2312"/>
          <w:color w:val="000000" w:themeColor="text1"/>
          <w:sz w:val="32"/>
          <w:szCs w:val="32"/>
          <w14:textFill>
            <w14:solidFill>
              <w14:schemeClr w14:val="tx1"/>
            </w14:solidFill>
          </w14:textFill>
        </w:rPr>
        <w:t xml:space="preserve">）出租给乙方作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农产品加工 </w:t>
      </w:r>
      <w:r>
        <w:rPr>
          <w:rFonts w:hint="eastAsia" w:ascii="仿宋_GB2312" w:hAnsi="仿宋_GB2312" w:eastAsia="仿宋_GB2312" w:cs="仿宋_GB2312"/>
          <w:color w:val="000000" w:themeColor="text1"/>
          <w:sz w:val="32"/>
          <w:szCs w:val="32"/>
          <w14:textFill>
            <w14:solidFill>
              <w14:schemeClr w14:val="tx1"/>
            </w14:solidFill>
          </w14:textFill>
        </w:rPr>
        <w:t>使用。</w:t>
      </w:r>
    </w:p>
    <w:p w14:paraId="7C71CC0C">
      <w:pPr>
        <w:numPr>
          <w:ilvl w:val="0"/>
          <w:numId w:val="1"/>
        </w:numPr>
        <w:spacing w:line="570" w:lineRule="exact"/>
        <w:ind w:left="602" w:leftChars="0" w:firstLine="0" w:firstLineChars="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租赁期限</w:t>
      </w:r>
    </w:p>
    <w:p w14:paraId="2E24B194">
      <w:pPr>
        <w:numPr>
          <w:ilvl w:val="0"/>
          <w:numId w:val="0"/>
        </w:numPr>
        <w:spacing w:line="570" w:lineRule="exact"/>
        <w:ind w:left="0" w:leftChars="0" w:firstLine="598" w:firstLineChars="187"/>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自甲方将基地交付乙方使用起算，起算日以双方书面确认为准，租赁期限为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合同期满后经双方协商一致的，可以续租；同等条件下，乙方有优先承租权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2BABD6A">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第三条 租金及其支付方法</w:t>
      </w:r>
    </w:p>
    <w:p w14:paraId="47514AFF">
      <w:pPr>
        <w:spacing w:line="57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甲、乙双方约定，农产品加工基地的租金为</w:t>
      </w:r>
      <w:r>
        <w:rPr>
          <w:rFonts w:hint="eastAsia" w:ascii="仿宋_GB2312" w:hAnsi="仿宋_GB2312" w:eastAsia="仿宋_GB2312" w:cs="仿宋_GB2312"/>
          <w:color w:val="auto"/>
          <w:sz w:val="32"/>
          <w:szCs w:val="32"/>
          <w:u w:val="none"/>
          <w:lang w:val="en-US" w:eastAsia="zh-CN"/>
        </w:rPr>
        <w:t xml:space="preserve">            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第1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2年6万/年、第3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5年1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万/年、第6</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10年1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万/年。乙方于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加工厂</w:t>
      </w:r>
      <w:r>
        <w:rPr>
          <w:rFonts w:hint="eastAsia" w:ascii="仿宋_GB2312" w:hAnsi="仿宋_GB2312" w:eastAsia="仿宋_GB2312" w:cs="仿宋_GB2312"/>
          <w:color w:val="000000" w:themeColor="text1"/>
          <w:sz w:val="32"/>
          <w:szCs w:val="32"/>
          <w14:textFill>
            <w14:solidFill>
              <w14:schemeClr w14:val="tx1"/>
            </w14:solidFill>
          </w14:textFill>
        </w:rPr>
        <w:t>交付使用之日起5日内支付第一年租金给甲方，后续每年在租金到期前15日内一次性支付下一年租金给甲方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A7C3111">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第四条 甲乙双方的权利和义务</w:t>
      </w:r>
    </w:p>
    <w:p w14:paraId="5376DF61">
      <w:pPr>
        <w:spacing w:line="570" w:lineRule="exact"/>
        <w:ind w:firstLine="6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（一）甲方的权利和义务</w:t>
      </w:r>
    </w:p>
    <w:p w14:paraId="691668D9">
      <w:pPr>
        <w:spacing w:line="57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1、甲方须保证该基地的土地使用权权属清楚，并享有处分该基地的权利。并提供权属证明及手续作为合同附件。</w:t>
      </w:r>
    </w:p>
    <w:p w14:paraId="464D8119">
      <w:pPr>
        <w:spacing w:line="570" w:lineRule="exact"/>
        <w:ind w:firstLine="6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2、甲方在交付基地给乙方使用时，应保证本基地在出租使用时的质量符合安全使用及符合本合同的使用目的并包括水电必须满足乙方生产要求。</w:t>
      </w:r>
    </w:p>
    <w:p w14:paraId="72CA0E80">
      <w:pPr>
        <w:pStyle w:val="2"/>
        <w:spacing w:line="570" w:lineRule="exact"/>
        <w:ind w:firstLine="6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3、甲方有按合同约定期限收取租金的权利。</w:t>
      </w:r>
    </w:p>
    <w:p w14:paraId="5FC074E0">
      <w:pPr>
        <w:spacing w:line="570" w:lineRule="exact"/>
        <w:ind w:firstLine="6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（二）乙方的权利和义务</w:t>
      </w:r>
    </w:p>
    <w:p w14:paraId="25E9B047">
      <w:pPr>
        <w:spacing w:line="57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在租赁期内，乙方必须依照国家法律法规规定和本合同的约定使用基地，依法享有租赁经营基地的使用权、受益权，在合同范围内依法自主经营，自负盈亏。如因乙方违法使用基地导致相关部门追究甲方行政责任、刑事责任的，甲方有权解除合同。</w:t>
      </w:r>
    </w:p>
    <w:p w14:paraId="236ECAB9">
      <w:pPr>
        <w:spacing w:line="570" w:lineRule="exact"/>
        <w:ind w:firstLine="603"/>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2、乙方须按期向甲方交纳租金，并支付因租赁基地而产生的水电费等费用。</w:t>
      </w:r>
    </w:p>
    <w:p w14:paraId="0C793018">
      <w:pPr>
        <w:pStyle w:val="2"/>
        <w:spacing w:line="570" w:lineRule="exact"/>
        <w:ind w:firstLine="603"/>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3、对于加工基地房屋内部及附属设施如：水管、电路，因自然属性或使用而导致的损耗，乙方应负责进行维修，由此产生的一切费用由乙方自行承担。基地房屋主体除外</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乙方可以根据生产需要对设施、水、电管道、线路进行改造，涉及房屋结构改变的，应征得甲方书面同意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291A135">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4、乙方在带动甲方村集体经济发展的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w:t>
      </w:r>
      <w:r>
        <w:rPr>
          <w:rFonts w:hint="eastAsia" w:ascii="仿宋_GB2312" w:hAnsi="仿宋_GB2312" w:eastAsia="仿宋_GB2312" w:cs="仿宋_GB2312"/>
          <w:color w:val="000000" w:themeColor="text1"/>
          <w:sz w:val="32"/>
          <w:szCs w:val="32"/>
          <w14:textFill>
            <w14:solidFill>
              <w14:schemeClr w14:val="tx1"/>
            </w14:solidFill>
          </w14:textFill>
        </w:rPr>
        <w:t>优先使用当地村民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在同等条件下应优先招聘有劳动能力的脱贫困户等低收入群体务工就业，增加收入。其工资待遇按照乙方有关规定执行。</w:t>
      </w:r>
    </w:p>
    <w:p w14:paraId="6BE8620D">
      <w:pPr>
        <w:spacing w:line="57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5、合同履行期满或合同解除后，乙方要在期满或解除之日起15日内清理处置完乙方的物资并完整的将租赁基地如数归还甲方。乙方添置且未与租赁房屋形成附合的设施，乙方有权自行处置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如未按时完成清理处置乙方的物资，视为放弃，甲方全权接收并处置。</w:t>
      </w:r>
    </w:p>
    <w:p w14:paraId="64A06450">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第五条 违约责任</w:t>
      </w:r>
    </w:p>
    <w:p w14:paraId="739E7AC9">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1、</w:t>
      </w:r>
      <w:r>
        <w:rPr>
          <w:rFonts w:hint="eastAsia" w:ascii="仿宋_GB2312" w:hAnsi="仿宋_GB2312" w:eastAsia="仿宋_GB2312" w:cs="仿宋_GB2312"/>
          <w:color w:val="000000" w:themeColor="text1"/>
          <w:sz w:val="32"/>
          <w:szCs w:val="32"/>
          <w:lang w:eastAsia="zh-CN"/>
          <w14:textFill>
            <w14:solidFill>
              <w14:schemeClr w14:val="tx1"/>
            </w14:solidFill>
          </w14:textFill>
        </w:rPr>
        <w:t>在租赁期限内</w:t>
      </w:r>
      <w:r>
        <w:rPr>
          <w:rFonts w:hint="eastAsia" w:ascii="仿宋_GB2312" w:hAnsi="仿宋_GB2312" w:eastAsia="仿宋_GB2312" w:cs="仿宋_GB2312"/>
          <w:color w:val="000000" w:themeColor="text1"/>
          <w:sz w:val="32"/>
          <w:szCs w:val="32"/>
          <w14:textFill>
            <w14:solidFill>
              <w14:schemeClr w14:val="tx1"/>
            </w14:solidFill>
          </w14:textFill>
        </w:rPr>
        <w:t>如因甲方原因导致乙方未能使用该基地，甲方负责解决该纠纷，纠纷期限内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w:t>
      </w:r>
      <w:r>
        <w:rPr>
          <w:rFonts w:hint="eastAsia" w:ascii="仿宋_GB2312" w:hAnsi="仿宋_GB2312" w:eastAsia="仿宋_GB2312" w:cs="仿宋_GB2312"/>
          <w:color w:val="000000" w:themeColor="text1"/>
          <w:sz w:val="32"/>
          <w:szCs w:val="32"/>
          <w14:textFill>
            <w14:solidFill>
              <w14:schemeClr w14:val="tx1"/>
            </w14:solidFill>
          </w14:textFill>
        </w:rPr>
        <w:t>免收相应租金。</w:t>
      </w:r>
    </w:p>
    <w:p w14:paraId="7E025E30">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2、如乙方拖欠应付甲方租金超过10日，甲方按每日3‰计收乙方应交而未交款的滞纳金；如乙方未经甲方同意，拖欠租金超过15日以上的，甲方有权单方解除合同，收回出租的基地，乙方应向甲方支付下一年应付而未付租金的50%作为违约金。</w:t>
      </w:r>
    </w:p>
    <w:p w14:paraId="3496B6AE">
      <w:pPr>
        <w:spacing w:line="570" w:lineRule="exact"/>
        <w:ind w:firstLine="642"/>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3、合同期内，双方不得提前解除合同。如乙方提前退租，乙方应提前15天书面通知甲方，并向甲方支付其下一年应付租金的50%作为违约金；如甲方提前收回基地，甲方应提前15天书面通知乙方，由甲方</w:t>
      </w:r>
      <w:r>
        <w:rPr>
          <w:rFonts w:hint="eastAsia" w:ascii="仿宋_GB2312" w:hAnsi="仿宋_GB2312" w:eastAsia="仿宋_GB2312" w:cs="仿宋_GB2312"/>
          <w:color w:val="000000" w:themeColor="text1"/>
          <w:sz w:val="32"/>
          <w:szCs w:val="32"/>
          <w:lang w:eastAsia="zh-CN"/>
          <w14:textFill>
            <w14:solidFill>
              <w14:schemeClr w14:val="tx1"/>
            </w14:solidFill>
          </w14:textFill>
        </w:rPr>
        <w:t>返还</w:t>
      </w:r>
      <w:r>
        <w:rPr>
          <w:rFonts w:hint="eastAsia" w:ascii="仿宋_GB2312" w:hAnsi="仿宋_GB2312" w:eastAsia="仿宋_GB2312" w:cs="仿宋_GB2312"/>
          <w:color w:val="000000" w:themeColor="text1"/>
          <w:sz w:val="32"/>
          <w:szCs w:val="32"/>
          <w14:textFill>
            <w14:solidFill>
              <w14:schemeClr w14:val="tx1"/>
            </w14:solidFill>
          </w14:textFill>
        </w:rPr>
        <w:t>乙方已交未使用期限的租金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并赔偿乙方因提前收回基地造成实际的损失</w:t>
      </w:r>
      <w:r>
        <w:rPr>
          <w:rFonts w:hint="eastAsia" w:ascii="仿宋_GB2312" w:hAnsi="仿宋_GB2312" w:eastAsia="仿宋_GB2312" w:cs="仿宋_GB2312"/>
          <w:color w:val="000000" w:themeColor="text1"/>
          <w:sz w:val="32"/>
          <w:szCs w:val="32"/>
          <w14:textFill>
            <w14:solidFill>
              <w14:schemeClr w14:val="tx1"/>
            </w14:solidFill>
          </w14:textFill>
        </w:rPr>
        <w:t>。</w:t>
      </w:r>
    </w:p>
    <w:p w14:paraId="3C4823DA">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第六条 转让条款</w:t>
      </w:r>
    </w:p>
    <w:p w14:paraId="0DC99281">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未经甲乙双方书面同意，任何一方不得全部或部分转让其在本合同项下的权利和义务。</w:t>
      </w:r>
    </w:p>
    <w:p w14:paraId="3468BB23">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第七条 免责条款</w:t>
      </w:r>
    </w:p>
    <w:p w14:paraId="3915EEDB">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由于不能预见、不能避免和不能克服的自然原因或社会原因，致使本合同不能履行或者不能完全履行时，遇到上述不可抗力事件的一方，应立即书面通知合同另一方，并应在不可抗力事件发生后15天内，向合同另一方提供经不可抗力事件发生地区公证机构出具的相关证明文件证明，合同不能履行或需要延期履行、部分履行的有效证明依据，由合同各方按事件对履行合同影响的程度协商决定是否解除合同、或者部分或全部免除履行合同的责任、或者延期履行合同。</w:t>
      </w:r>
    </w:p>
    <w:p w14:paraId="55D7664A">
      <w:pPr>
        <w:spacing w:line="570" w:lineRule="exact"/>
        <w:ind w:firstLine="64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遭受不可抗力的一方未履行上述义务的，不能免除其违约责任。因土地收储或房屋征收导致合同无法继续履行的，对土地和房屋的补偿归甲方所有，对停止生产的补偿归乙方所有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D316BE8">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第八条 争议的解决</w:t>
      </w:r>
    </w:p>
    <w:p w14:paraId="074D7603">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因本合同的签订、履行而发生争议的，合同各方应本着友好、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合作</w:t>
      </w:r>
      <w:r>
        <w:rPr>
          <w:rFonts w:hint="eastAsia" w:ascii="仿宋_GB2312" w:hAnsi="仿宋_GB2312" w:eastAsia="仿宋_GB2312" w:cs="仿宋_GB2312"/>
          <w:color w:val="000000" w:themeColor="text1"/>
          <w:sz w:val="32"/>
          <w:szCs w:val="32"/>
          <w14:textFill>
            <w14:solidFill>
              <w14:schemeClr w14:val="tx1"/>
            </w14:solidFill>
          </w14:textFill>
        </w:rPr>
        <w:t>的态度进行协商；协商不成的，可以提起诉讼，双方同意由合同履行地的人民法院管辖。</w:t>
      </w:r>
    </w:p>
    <w:p w14:paraId="0C2A31AF">
      <w:pPr>
        <w:spacing w:line="570" w:lineRule="exac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第九条 其它</w:t>
      </w:r>
    </w:p>
    <w:p w14:paraId="0CE5E672">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1、本合同如有未尽事宜，经双方友好协商，另签补充协议。补充协议与本合同具有同等法律效力。</w:t>
      </w:r>
    </w:p>
    <w:p w14:paraId="19F308A4">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2、本合同附件是本合同的组成部分，与本合同具有同等法律效力。</w:t>
      </w:r>
    </w:p>
    <w:p w14:paraId="124FBCB4">
      <w:pPr>
        <w:spacing w:line="57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3、本合同一式四份，甲乙双方各执两份，均具同等法律效力。</w:t>
      </w:r>
    </w:p>
    <w:p w14:paraId="780BC3FA">
      <w:pPr>
        <w:spacing w:line="57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4、本合同自双方签字、盖章之日起生效。</w:t>
      </w:r>
    </w:p>
    <w:p w14:paraId="7768F521">
      <w:pPr>
        <w:spacing w:line="57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5、其他约定。</w:t>
      </w:r>
    </w:p>
    <w:p w14:paraId="160FF036">
      <w:pPr>
        <w:spacing w:line="570" w:lineRule="exact"/>
        <w:rPr>
          <w:rFonts w:ascii="仿宋_GB2312" w:hAnsi="仿宋_GB2312" w:eastAsia="仿宋_GB2312" w:cs="仿宋_GB2312"/>
          <w:sz w:val="32"/>
          <w:szCs w:val="32"/>
        </w:rPr>
      </w:pPr>
    </w:p>
    <w:p w14:paraId="1D5E6716">
      <w:pPr>
        <w:spacing w:line="570" w:lineRule="exact"/>
        <w:rPr>
          <w:rFonts w:ascii="仿宋_GB2312" w:hAnsi="仿宋_GB2312" w:eastAsia="仿宋_GB2312" w:cs="仿宋_GB2312"/>
          <w:sz w:val="32"/>
          <w:szCs w:val="32"/>
        </w:rPr>
      </w:pPr>
    </w:p>
    <w:p w14:paraId="390C4693">
      <w:pPr>
        <w:spacing w:line="57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甲方（盖章）：</w:t>
      </w:r>
    </w:p>
    <w:p w14:paraId="68FD4184">
      <w:pPr>
        <w:spacing w:line="570" w:lineRule="exact"/>
        <w:rPr>
          <w:rFonts w:ascii="仿宋_GB2312" w:hAnsi="仿宋_GB2312" w:eastAsia="仿宋_GB2312" w:cs="仿宋_GB2312"/>
          <w:sz w:val="32"/>
          <w:szCs w:val="32"/>
          <w:u w:val="single" w:color="000000"/>
        </w:rPr>
      </w:pPr>
      <w:r>
        <w:rPr>
          <w:rFonts w:hint="eastAsia" w:ascii="仿宋_GB2312" w:hAnsi="仿宋_GB2312" w:eastAsia="仿宋_GB2312" w:cs="仿宋_GB2312"/>
          <w:sz w:val="32"/>
          <w:szCs w:val="32"/>
        </w:rPr>
        <w:t>法人代表（签章）：</w:t>
      </w:r>
    </w:p>
    <w:p w14:paraId="441F2E85">
      <w:pPr>
        <w:spacing w:line="57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1E6201B7">
      <w:pPr>
        <w:widowControl/>
        <w:snapToGrid w:val="0"/>
        <w:spacing w:line="570" w:lineRule="exact"/>
        <w:rPr>
          <w:rFonts w:ascii="仿宋_GB2312" w:hAnsi="仿宋_GB2312" w:eastAsia="仿宋_GB2312" w:cs="仿宋_GB2312"/>
          <w:sz w:val="32"/>
          <w:szCs w:val="32"/>
        </w:rPr>
      </w:pPr>
    </w:p>
    <w:p w14:paraId="284242D9">
      <w:pPr>
        <w:widowControl/>
        <w:snapToGrid w:val="0"/>
        <w:spacing w:line="57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乙方（盖章）：</w:t>
      </w:r>
    </w:p>
    <w:p w14:paraId="299E4A58">
      <w:pPr>
        <w:spacing w:line="570" w:lineRule="exact"/>
        <w:rPr>
          <w:rFonts w:ascii="仿宋_GB2312" w:hAnsi="仿宋_GB2312" w:eastAsia="仿宋_GB2312" w:cs="仿宋_GB2312"/>
          <w:sz w:val="32"/>
          <w:szCs w:val="32"/>
          <w:u w:val="single" w:color="000000"/>
        </w:rPr>
      </w:pPr>
      <w:r>
        <w:rPr>
          <w:rFonts w:hint="eastAsia" w:ascii="仿宋_GB2312" w:hAnsi="仿宋_GB2312" w:eastAsia="仿宋_GB2312" w:cs="仿宋_GB2312"/>
          <w:sz w:val="32"/>
          <w:szCs w:val="32"/>
        </w:rPr>
        <w:t>法人代表（签章）：</w:t>
      </w:r>
    </w:p>
    <w:p w14:paraId="54DD8023">
      <w:pPr>
        <w:spacing w:line="570" w:lineRule="exact"/>
        <w:ind w:firstLine="6080" w:firstLineChars="1900"/>
        <w:rPr>
          <w:rFonts w:ascii="仿宋_GB2312" w:hAnsi="仿宋_GB2312" w:eastAsia="仿宋_GB2312" w:cs="仿宋_GB2312"/>
          <w:sz w:val="32"/>
          <w:szCs w:val="32"/>
        </w:rPr>
      </w:pPr>
    </w:p>
    <w:p w14:paraId="6D8D2229">
      <w:pPr>
        <w:spacing w:line="57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sectPr>
      <w:footerReference r:id="rId3" w:type="default"/>
      <w:pgSz w:w="11900" w:h="16840"/>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0E502">
    <w:pPr>
      <w:pStyle w:val="3"/>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F9A82">
                          <w:pPr>
                            <w:pStyle w:val="3"/>
                            <w:rPr>
                              <w:color w:val="000000"/>
                            </w:rPr>
                          </w:pPr>
                          <w:r>
                            <w:rPr>
                              <w:rFonts w:hint="eastAsia"/>
                              <w:color w:val="000000"/>
                            </w:rPr>
                            <w:t xml:space="preserve">— </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  \* MERGEFORMAT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1</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 xml:space="preserve"> </w:t>
                          </w:r>
                          <w:r>
                            <w:rPr>
                              <w:rFonts w:hint="eastAsia"/>
                              <w:color w:val="000000"/>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FDF9A82">
                    <w:pPr>
                      <w:pStyle w:val="3"/>
                      <w:rPr>
                        <w:color w:val="000000"/>
                      </w:rPr>
                    </w:pPr>
                    <w:r>
                      <w:rPr>
                        <w:rFonts w:hint="eastAsia"/>
                        <w:color w:val="000000"/>
                      </w:rPr>
                      <w:t xml:space="preserve">— </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  \* MERGEFORMAT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1</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 xml:space="preserve"> </w:t>
                    </w:r>
                    <w:r>
                      <w:rPr>
                        <w:rFonts w:hint="eastAsia"/>
                        <w:color w:val="000000"/>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31D5EE"/>
    <w:multiLevelType w:val="singleLevel"/>
    <w:tmpl w:val="3131D5EE"/>
    <w:lvl w:ilvl="0" w:tentative="0">
      <w:start w:val="1"/>
      <w:numFmt w:val="chineseCounting"/>
      <w:suff w:val="space"/>
      <w:lvlText w:val="第%1条"/>
      <w:lvlJc w:val="left"/>
      <w:pPr>
        <w:ind w:left="602"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xNjlkYTNlYTljZmZjYzdkMzhhNjlhN2YwOGE5NTUifQ=="/>
  </w:docVars>
  <w:rsids>
    <w:rsidRoot w:val="0060605D"/>
    <w:rsid w:val="00032D4B"/>
    <w:rsid w:val="00095E34"/>
    <w:rsid w:val="001052EE"/>
    <w:rsid w:val="001A6225"/>
    <w:rsid w:val="003B2109"/>
    <w:rsid w:val="0060605D"/>
    <w:rsid w:val="006F7673"/>
    <w:rsid w:val="00756C18"/>
    <w:rsid w:val="009B7904"/>
    <w:rsid w:val="00A22E42"/>
    <w:rsid w:val="00BF5179"/>
    <w:rsid w:val="00DA7310"/>
    <w:rsid w:val="00F81EDC"/>
    <w:rsid w:val="00FA13C0"/>
    <w:rsid w:val="01D87B60"/>
    <w:rsid w:val="038531FA"/>
    <w:rsid w:val="05300925"/>
    <w:rsid w:val="0760361C"/>
    <w:rsid w:val="0D6B11AE"/>
    <w:rsid w:val="0DB3138B"/>
    <w:rsid w:val="19A6060A"/>
    <w:rsid w:val="1C7C22BF"/>
    <w:rsid w:val="1C7F0C94"/>
    <w:rsid w:val="1D0070AD"/>
    <w:rsid w:val="1F386A91"/>
    <w:rsid w:val="209752D1"/>
    <w:rsid w:val="22A33EF5"/>
    <w:rsid w:val="25C430E8"/>
    <w:rsid w:val="269D7015"/>
    <w:rsid w:val="2F636912"/>
    <w:rsid w:val="311350D8"/>
    <w:rsid w:val="35C51944"/>
    <w:rsid w:val="3DE97BF8"/>
    <w:rsid w:val="490843F5"/>
    <w:rsid w:val="4C50598D"/>
    <w:rsid w:val="51464670"/>
    <w:rsid w:val="529C6993"/>
    <w:rsid w:val="54A47C44"/>
    <w:rsid w:val="56BF157E"/>
    <w:rsid w:val="59E5662B"/>
    <w:rsid w:val="5ED32ECF"/>
    <w:rsid w:val="68157842"/>
    <w:rsid w:val="6B377660"/>
    <w:rsid w:val="6D374E30"/>
    <w:rsid w:val="6E59031A"/>
    <w:rsid w:val="75C67672"/>
    <w:rsid w:val="78BC0EE5"/>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0"/>
    <w:rPr>
      <w:rFonts w:ascii="Arial" w:hAnsi="Arial" w:cs="Arial"/>
      <w:sz w:val="24"/>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itle"/>
    <w:basedOn w:val="1"/>
    <w:link w:val="12"/>
    <w:qFormat/>
    <w:uiPriority w:val="10"/>
    <w:pPr>
      <w:widowControl/>
      <w:spacing w:before="211" w:beforeLines="50"/>
      <w:jc w:val="center"/>
    </w:pPr>
    <w:rPr>
      <w:rFonts w:ascii="宋体" w:hAnsi="宋体" w:cs="宋体"/>
      <w:sz w:val="52"/>
      <w:szCs w:val="52"/>
      <w:lang w:eastAsia="zh-Han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样式2"/>
    <w:basedOn w:val="1"/>
    <w:qFormat/>
    <w:uiPriority w:val="0"/>
    <w:pPr>
      <w:jc w:val="center"/>
    </w:pPr>
    <w:rPr>
      <w:rFonts w:ascii="仿宋_GB2312" w:hAnsi="仿宋_GB2312" w:eastAsia="仿宋_GB2312" w:cs="仿宋_GB2312"/>
      <w:b/>
      <w:bCs/>
      <w:sz w:val="44"/>
      <w:szCs w:val="44"/>
    </w:rPr>
  </w:style>
  <w:style w:type="paragraph" w:customStyle="1" w:styleId="11">
    <w:name w:val="样式3"/>
    <w:basedOn w:val="1"/>
    <w:qFormat/>
    <w:uiPriority w:val="0"/>
    <w:pPr>
      <w:jc w:val="center"/>
    </w:pPr>
    <w:rPr>
      <w:rFonts w:ascii="仿宋_GB2312" w:hAnsi="仿宋_GB2312" w:eastAsia="仿宋_GB2312" w:cs="仿宋_GB2312"/>
      <w:b/>
      <w:bCs/>
      <w:sz w:val="44"/>
      <w:szCs w:val="44"/>
    </w:rPr>
  </w:style>
  <w:style w:type="character" w:customStyle="1" w:styleId="12">
    <w:name w:val="标题 字符"/>
    <w:basedOn w:val="8"/>
    <w:link w:val="5"/>
    <w:qFormat/>
    <w:uiPriority w:val="10"/>
    <w:rPr>
      <w:rFonts w:ascii="宋体" w:hAnsi="宋体" w:cs="宋体"/>
      <w:sz w:val="52"/>
      <w:szCs w:val="52"/>
      <w:lang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1860</Words>
  <Characters>1885</Characters>
  <Lines>17</Lines>
  <Paragraphs>4</Paragraphs>
  <TotalTime>0</TotalTime>
  <ScaleCrop>false</ScaleCrop>
  <LinksUpToDate>false</LinksUpToDate>
  <CharactersWithSpaces>1950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2024-05-06T17:56:00Z</dcterms:created>
  <dc:creator>HYD</dc:creator>
  <cp:lastModifiedBy>萧</cp:lastModifiedBy>
  <cp:lastPrinted>2025-02-27T02:07:00Z</cp:lastPrinted>
  <dcterms:modified xsi:type="dcterms:W3CDTF">2025-11-11T02:56:41Z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D3E45F0437DE43FB903A9989321ADF0D_13</vt:lpwstr>
  </property>
  <property fmtid="{D5CDD505-2E9C-101B-9397-08002B2CF9AE}" pid="4" name="KSOTemplateDocerSaveRecord">
    <vt:lpwstr>eyJoZGlkIjoiNDRmMGUwZmQ4OTQ0YTNjNmZiZWUwZmQ1MzE1ZDg1NTgiLCJ1c2VySWQiOiI4OTU5MzEwODEifQ==</vt:lpwstr>
  </property>
</Properties>
</file>