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1"/>
        <w:rPr>
          <w:rFonts w:ascii="Times New Roman" w:hAnsi="Times New Roman"/>
          <w:b/>
          <w:bCs/>
          <w:sz w:val="48"/>
        </w:rPr>
      </w:pPr>
      <w:bookmarkStart w:id="0" w:name="_Toc4176"/>
      <w:r>
        <w:rPr>
          <w:rFonts w:hint="eastAsia" w:ascii="楷体" w:hAnsi="楷体" w:eastAsia="楷体" w:cs="楷体"/>
          <w:sz w:val="32"/>
          <w:szCs w:val="32"/>
        </w:rPr>
        <w:t>编号：</w:t>
      </w:r>
      <w:bookmarkEnd w:id="0"/>
    </w:p>
    <w:p>
      <w:pPr>
        <w:pStyle w:val="1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rPr>
      </w:pPr>
      <w:bookmarkStart w:id="1" w:name="_Toc21587"/>
      <w:bookmarkStart w:id="2" w:name="_Toc8991"/>
      <w:r>
        <w:rPr>
          <w:rFonts w:hint="eastAsia" w:ascii="方正小标宋简体" w:hAnsi="方正小标宋简体" w:eastAsia="方正小标宋简体" w:cs="方正小标宋简体"/>
          <w:b w:val="0"/>
          <w:bCs/>
          <w:sz w:val="44"/>
          <w:szCs w:val="44"/>
          <w:lang w:val="en-US" w:eastAsia="zh-CN"/>
        </w:rPr>
        <w:t>陵水黎族自治县</w:t>
      </w:r>
      <w:r>
        <w:rPr>
          <w:rFonts w:hint="eastAsia" w:ascii="方正小标宋简体" w:hAnsi="方正小标宋简体" w:eastAsia="方正小标宋简体" w:cs="方正小标宋简体"/>
          <w:b w:val="0"/>
          <w:bCs/>
          <w:sz w:val="44"/>
          <w:szCs w:val="44"/>
        </w:rPr>
        <w:t>农村产权流转交易</w:t>
      </w:r>
    </w:p>
    <w:p>
      <w:pPr>
        <w:pStyle w:val="1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意向受让申请书</w:t>
      </w:r>
      <w:bookmarkEnd w:id="1"/>
      <w:bookmarkEnd w:id="2"/>
    </w:p>
    <w:p>
      <w:pPr>
        <w:spacing w:line="360" w:lineRule="auto"/>
        <w:jc w:val="center"/>
        <w:rPr>
          <w:rFonts w:ascii="Times New Roman" w:hAnsi="Times New Roman"/>
          <w:sz w:val="28"/>
        </w:rPr>
      </w:pPr>
    </w:p>
    <w:p>
      <w:pPr>
        <w:pStyle w:val="2"/>
      </w:pPr>
    </w:p>
    <w:tbl>
      <w:tblPr>
        <w:tblStyle w:val="10"/>
        <w:tblW w:w="84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7"/>
        <w:gridCol w:w="5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2817" w:type="dxa"/>
            <w:vAlign w:val="bottom"/>
          </w:tcPr>
          <w:p>
            <w:pPr>
              <w:jc w:val="distribute"/>
              <w:rPr>
                <w:rFonts w:hint="eastAsia" w:ascii="宋体" w:hAnsi="宋体" w:eastAsia="宋体" w:cs="宋体"/>
                <w:b/>
                <w:color w:val="auto"/>
                <w:sz w:val="32"/>
                <w:highlight w:val="none"/>
                <w:vertAlign w:val="baseline"/>
              </w:rPr>
            </w:pPr>
            <w:r>
              <w:rPr>
                <w:rFonts w:hint="eastAsia" w:ascii="黑体" w:hAnsi="黑体" w:eastAsia="黑体" w:cs="黑体"/>
                <w:b w:val="0"/>
                <w:bCs/>
                <w:color w:val="auto"/>
                <w:sz w:val="28"/>
                <w:szCs w:val="28"/>
                <w:highlight w:val="none"/>
              </w:rPr>
              <w:t>申请</w:t>
            </w:r>
            <w:r>
              <w:rPr>
                <w:rFonts w:hint="eastAsia" w:ascii="黑体" w:hAnsi="黑体" w:eastAsia="黑体" w:cs="黑体"/>
                <w:b w:val="0"/>
                <w:bCs/>
                <w:color w:val="auto"/>
                <w:sz w:val="28"/>
                <w:szCs w:val="28"/>
                <w:highlight w:val="none"/>
                <w:lang w:val="en-US" w:eastAsia="zh-CN"/>
              </w:rPr>
              <w:t>单位/申请人</w:t>
            </w:r>
            <w:r>
              <w:rPr>
                <w:rFonts w:hint="eastAsia" w:ascii="黑体" w:hAnsi="黑体" w:eastAsia="黑体" w:cs="黑体"/>
                <w:b w:val="0"/>
                <w:bCs/>
                <w:color w:val="auto"/>
                <w:sz w:val="28"/>
                <w:szCs w:val="28"/>
                <w:highlight w:val="none"/>
              </w:rPr>
              <w:t>：</w:t>
            </w:r>
          </w:p>
        </w:tc>
        <w:tc>
          <w:tcPr>
            <w:tcW w:w="5600" w:type="dxa"/>
            <w:tcBorders>
              <w:bottom w:val="single" w:color="auto" w:sz="4" w:space="0"/>
            </w:tcBorders>
            <w:vAlign w:val="bottom"/>
          </w:tcPr>
          <w:p>
            <w:pPr>
              <w:jc w:val="both"/>
              <w:rPr>
                <w:rFonts w:hint="default" w:ascii="宋体" w:hAnsi="宋体" w:eastAsia="宋体" w:cs="宋体"/>
                <w:b/>
                <w:color w:val="auto"/>
                <w:sz w:val="32"/>
                <w:highlight w:val="none"/>
                <w:vertAlign w:val="baseline"/>
                <w:lang w:val="en-US" w:eastAsia="zh-CN"/>
              </w:rPr>
            </w:pPr>
            <w:r>
              <w:rPr>
                <w:rFonts w:hint="eastAsia" w:ascii="宋体" w:hAnsi="宋体" w:cs="宋体"/>
                <w:b/>
                <w:color w:val="auto"/>
                <w:sz w:val="32"/>
                <w:highlight w:val="non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trPr>
        <w:tc>
          <w:tcPr>
            <w:tcW w:w="2817" w:type="dxa"/>
            <w:vAlign w:val="bottom"/>
          </w:tcPr>
          <w:p>
            <w:pPr>
              <w:jc w:val="distribute"/>
              <w:rPr>
                <w:rFonts w:hint="eastAsia" w:ascii="宋体" w:hAnsi="宋体" w:eastAsia="宋体" w:cs="宋体"/>
                <w:b/>
                <w:color w:val="auto"/>
                <w:sz w:val="32"/>
                <w:highlight w:val="none"/>
                <w:vertAlign w:val="baseline"/>
              </w:rPr>
            </w:pPr>
            <w:r>
              <w:rPr>
                <w:rFonts w:hint="eastAsia" w:ascii="黑体" w:hAnsi="黑体" w:eastAsia="黑体" w:cs="黑体"/>
                <w:b w:val="0"/>
                <w:bCs/>
                <w:color w:val="auto"/>
                <w:sz w:val="28"/>
                <w:szCs w:val="28"/>
                <w:highlight w:val="none"/>
                <w:lang w:val="en-US" w:eastAsia="zh-CN"/>
              </w:rPr>
              <w:t>法定代表人/负责人：</w:t>
            </w:r>
          </w:p>
        </w:tc>
        <w:tc>
          <w:tcPr>
            <w:tcW w:w="5600" w:type="dxa"/>
            <w:tcBorders>
              <w:top w:val="single" w:color="auto" w:sz="4" w:space="0"/>
              <w:bottom w:val="single" w:color="auto" w:sz="4" w:space="0"/>
            </w:tcBorders>
            <w:vAlign w:val="bottom"/>
          </w:tcPr>
          <w:p>
            <w:pPr>
              <w:jc w:val="both"/>
              <w:rPr>
                <w:rFonts w:hint="default" w:ascii="宋体" w:hAnsi="宋体" w:eastAsia="宋体" w:cs="宋体"/>
                <w:b/>
                <w:color w:val="auto"/>
                <w:sz w:val="32"/>
                <w:highlight w:val="none"/>
                <w:vertAlign w:val="baseline"/>
                <w:lang w:val="en-US" w:eastAsia="zh-CN"/>
              </w:rPr>
            </w:pPr>
            <w:r>
              <w:rPr>
                <w:rFonts w:hint="eastAsia" w:ascii="宋体" w:hAnsi="宋体" w:cs="宋体"/>
                <w:b/>
                <w:color w:val="auto"/>
                <w:sz w:val="32"/>
                <w:highlight w:val="none"/>
                <w:vertAlign w:val="baseline"/>
                <w:lang w:val="en-US" w:eastAsia="zh-CN"/>
              </w:rPr>
              <w:t xml:space="preserve">               </w:t>
            </w:r>
          </w:p>
        </w:tc>
      </w:tr>
    </w:tbl>
    <w:p>
      <w:pPr>
        <w:tabs>
          <w:tab w:val="left" w:pos="6090"/>
        </w:tabs>
        <w:spacing w:line="360" w:lineRule="auto"/>
        <w:rPr>
          <w:rFonts w:ascii="Times New Roman" w:hAnsi="Times New Roman"/>
          <w:sz w:val="32"/>
        </w:rPr>
      </w:pPr>
      <w:r>
        <w:rPr>
          <w:rFonts w:ascii="Times New Roman" w:hAnsi="Times New Roman"/>
          <w:sz w:val="32"/>
        </w:rPr>
        <w:tab/>
      </w:r>
    </w:p>
    <w:tbl>
      <w:tblPr>
        <w:tblStyle w:val="9"/>
        <w:tblpPr w:leftFromText="180" w:rightFromText="180" w:vertAnchor="text" w:horzAnchor="page" w:tblpX="1931" w:tblpY="566"/>
        <w:tblOverlap w:val="never"/>
        <w:tblW w:w="8300" w:type="dxa"/>
        <w:tblInd w:w="0" w:type="dxa"/>
        <w:tblBorders>
          <w:top w:val="dotted" w:color="auto" w:sz="4" w:space="0"/>
          <w:left w:val="dotted" w:color="auto" w:sz="4" w:space="0"/>
          <w:bottom w:val="dotted" w:color="auto" w:sz="4"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0"/>
      </w:tblGrid>
      <w:tr>
        <w:tblPrEx>
          <w:tblBorders>
            <w:top w:val="dotted" w:color="auto" w:sz="4" w:space="0"/>
            <w:left w:val="dotted" w:color="auto" w:sz="4" w:space="0"/>
            <w:bottom w:val="dotted" w:color="auto" w:sz="4"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3" w:hRule="atLeast"/>
        </w:trPr>
        <w:tc>
          <w:tcPr>
            <w:tcW w:w="8300" w:type="dxa"/>
            <w:tcBorders>
              <w:top w:val="dotDash" w:color="auto" w:sz="4" w:space="0"/>
              <w:left w:val="dotDash" w:color="auto" w:sz="4" w:space="0"/>
              <w:bottom w:val="dotDash" w:color="auto" w:sz="4" w:space="0"/>
              <w:right w:val="dotDash" w:color="auto" w:sz="4" w:space="0"/>
            </w:tcBorders>
            <w:noWrap w:val="0"/>
            <w:vAlign w:val="top"/>
          </w:tcPr>
          <w:p>
            <w:pPr>
              <w:spacing w:line="360" w:lineRule="auto"/>
              <w:jc w:val="center"/>
              <w:rPr>
                <w:rFonts w:hint="eastAsia" w:ascii="楷体" w:hAnsi="楷体" w:eastAsia="楷体" w:cs="楷体"/>
                <w:b w:val="0"/>
                <w:bCs w:val="0"/>
                <w:sz w:val="36"/>
              </w:rPr>
            </w:pPr>
            <w:r>
              <w:rPr>
                <w:rFonts w:hint="eastAsia" w:ascii="楷体" w:hAnsi="楷体" w:eastAsia="楷体" w:cs="楷体"/>
                <w:b w:val="0"/>
                <w:bCs w:val="0"/>
                <w:sz w:val="36"/>
              </w:rPr>
              <w:t>敬  告</w:t>
            </w:r>
          </w:p>
          <w:p>
            <w:pPr>
              <w:numPr>
                <w:ilvl w:val="0"/>
                <w:numId w:val="1"/>
              </w:num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申请人在填表前，应认真阅读并理解《</w:t>
            </w:r>
            <w:r>
              <w:rPr>
                <w:rFonts w:hint="eastAsia" w:ascii="仿宋" w:hAnsi="仿宋" w:eastAsia="仿宋" w:cs="仿宋"/>
                <w:color w:val="auto"/>
                <w:sz w:val="28"/>
                <w:szCs w:val="28"/>
                <w:highlight w:val="none"/>
                <w:lang w:val="en-US" w:eastAsia="zh-CN"/>
              </w:rPr>
              <w:t>陵水农村产权交易中心农村产权交易规则（试行）</w:t>
            </w:r>
            <w:r>
              <w:rPr>
                <w:rFonts w:hint="eastAsia" w:ascii="仿宋" w:hAnsi="仿宋" w:eastAsia="仿宋" w:cs="仿宋"/>
                <w:color w:val="auto"/>
                <w:sz w:val="28"/>
                <w:szCs w:val="28"/>
                <w:highlight w:val="none"/>
              </w:rPr>
              <w:t>》及相关规定。</w:t>
            </w:r>
          </w:p>
          <w:p>
            <w:p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2.申请书各项内容务请如实、准确填写。</w:t>
            </w:r>
          </w:p>
          <w:p>
            <w:p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3.填写时请使用蓝黑或黑色墨水，字迹工整，不得涂改。</w:t>
            </w:r>
          </w:p>
          <w:p>
            <w:pPr>
              <w:tabs>
                <w:tab w:val="left" w:pos="5250"/>
              </w:tabs>
              <w:spacing w:line="360" w:lineRule="auto"/>
              <w:jc w:val="left"/>
              <w:rPr>
                <w:rFonts w:ascii="Times New Roman" w:hAnsi="Times New Roman"/>
                <w:b/>
                <w:bCs/>
                <w:sz w:val="32"/>
              </w:rPr>
            </w:pPr>
            <w:r>
              <w:rPr>
                <w:rFonts w:hint="eastAsia" w:ascii="仿宋" w:hAnsi="仿宋" w:eastAsia="仿宋" w:cs="仿宋"/>
                <w:color w:val="auto"/>
                <w:sz w:val="28"/>
                <w:szCs w:val="28"/>
                <w:highlight w:val="none"/>
              </w:rPr>
              <w:t>4.本申请书请转出方加盖骑缝章。</w:t>
            </w:r>
          </w:p>
        </w:tc>
      </w:tr>
    </w:tbl>
    <w:p>
      <w:pPr>
        <w:tabs>
          <w:tab w:val="left" w:pos="5250"/>
        </w:tabs>
        <w:spacing w:line="360" w:lineRule="auto"/>
        <w:jc w:val="both"/>
        <w:rPr>
          <w:rFonts w:ascii="Times New Roman" w:hAnsi="Times New Roman"/>
          <w:b/>
          <w:bCs/>
          <w:sz w:val="32"/>
        </w:rPr>
      </w:pPr>
    </w:p>
    <w:p>
      <w:pPr>
        <w:tabs>
          <w:tab w:val="left" w:pos="5250"/>
        </w:tabs>
        <w:spacing w:line="360" w:lineRule="auto"/>
        <w:jc w:val="center"/>
        <w:rPr>
          <w:rFonts w:ascii="Times New Roman" w:hAnsi="Times New Roman"/>
          <w:b/>
          <w:bCs/>
          <w:sz w:val="32"/>
        </w:rPr>
      </w:pPr>
    </w:p>
    <w:p>
      <w:pPr>
        <w:shd w:val="clear" w:color="auto" w:fill="auto"/>
        <w:tabs>
          <w:tab w:val="left" w:pos="5250"/>
        </w:tabs>
        <w:jc w:val="center"/>
        <w:rPr>
          <w:rFonts w:hint="eastAsia" w:ascii="楷体" w:hAnsi="楷体" w:eastAsia="楷体" w:cs="楷体"/>
          <w:b w:val="0"/>
          <w:bCs w:val="0"/>
          <w:color w:val="auto"/>
          <w:sz w:val="32"/>
          <w:highlight w:val="none"/>
        </w:rPr>
      </w:pPr>
      <w:r>
        <w:rPr>
          <w:rFonts w:hint="eastAsia" w:ascii="楷体" w:hAnsi="楷体" w:eastAsia="楷体" w:cs="楷体"/>
          <w:b w:val="0"/>
          <w:bCs w:val="0"/>
          <w:color w:val="auto"/>
          <w:sz w:val="32"/>
          <w:highlight w:val="none"/>
          <w:lang w:val="en-US" w:eastAsia="zh-CN"/>
        </w:rPr>
        <w:t>陵水黎族自治县农村产权交易中心有限公司</w:t>
      </w:r>
      <w:r>
        <w:rPr>
          <w:rFonts w:hint="eastAsia" w:ascii="楷体" w:hAnsi="楷体" w:eastAsia="楷体" w:cs="楷体"/>
          <w:b w:val="0"/>
          <w:bCs w:val="0"/>
          <w:color w:val="auto"/>
          <w:sz w:val="32"/>
          <w:highlight w:val="none"/>
        </w:rPr>
        <w:t>制</w:t>
      </w:r>
    </w:p>
    <w:p>
      <w:pPr>
        <w:shd w:val="clear" w:color="auto" w:fill="auto"/>
        <w:tabs>
          <w:tab w:val="left" w:pos="5250"/>
        </w:tabs>
        <w:jc w:val="center"/>
        <w:outlineLvl w:val="9"/>
        <w:rPr>
          <w:rFonts w:hint="eastAsia" w:ascii="楷体" w:hAnsi="楷体" w:eastAsia="楷体" w:cs="楷体"/>
          <w:b w:val="0"/>
          <w:bCs w:val="0"/>
          <w:color w:val="auto"/>
          <w:sz w:val="32"/>
          <w:highlight w:val="none"/>
        </w:rPr>
      </w:pPr>
      <w:r>
        <w:rPr>
          <w:rFonts w:hint="eastAsia" w:ascii="楷体" w:hAnsi="楷体" w:eastAsia="楷体" w:cs="楷体"/>
          <w:b w:val="0"/>
          <w:bCs w:val="0"/>
          <w:color w:val="auto"/>
          <w:sz w:val="32"/>
          <w:highlight w:val="none"/>
          <w:lang w:val="en-US" w:eastAsia="zh-CN"/>
        </w:rPr>
        <w:t>2025</w:t>
      </w:r>
      <w:r>
        <w:rPr>
          <w:rFonts w:hint="eastAsia" w:ascii="楷体" w:hAnsi="楷体" w:eastAsia="楷体" w:cs="楷体"/>
          <w:b w:val="0"/>
          <w:bCs w:val="0"/>
          <w:color w:val="auto"/>
          <w:sz w:val="32"/>
          <w:highlight w:val="none"/>
        </w:rPr>
        <w:t>年</w:t>
      </w:r>
      <w:r>
        <w:rPr>
          <w:rFonts w:hint="eastAsia" w:ascii="楷体" w:hAnsi="楷体" w:eastAsia="楷体" w:cs="楷体"/>
          <w:b w:val="0"/>
          <w:bCs w:val="0"/>
          <w:color w:val="auto"/>
          <w:sz w:val="32"/>
          <w:highlight w:val="none"/>
          <w:lang w:val="en-US" w:eastAsia="zh-CN"/>
        </w:rPr>
        <w:t xml:space="preserve"> </w:t>
      </w:r>
      <w:r>
        <w:rPr>
          <w:rFonts w:hint="eastAsia" w:ascii="楷体" w:hAnsi="楷体" w:eastAsia="楷体" w:cs="楷体"/>
          <w:b w:val="0"/>
          <w:bCs w:val="0"/>
          <w:color w:val="auto"/>
          <w:sz w:val="32"/>
          <w:highlight w:val="none"/>
        </w:rPr>
        <w:t>月</w:t>
      </w:r>
    </w:p>
    <w:p>
      <w:pPr>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28"/>
          <w:szCs w:val="28"/>
        </w:rPr>
      </w:pPr>
      <w:r>
        <w:rPr>
          <w:rFonts w:ascii="Times New Roman" w:hAnsi="Times New Roman"/>
          <w:b/>
          <w:bCs/>
          <w:sz w:val="32"/>
        </w:rPr>
        <w:br w:type="page"/>
      </w:r>
      <w:r>
        <w:rPr>
          <w:rFonts w:hint="eastAsia" w:ascii="方正小标宋简体" w:hAnsi="方正小标宋简体" w:eastAsia="方正小标宋简体" w:cs="方正小标宋简体"/>
          <w:b w:val="0"/>
          <w:bCs w:val="0"/>
          <w:sz w:val="36"/>
          <w:szCs w:val="36"/>
        </w:rPr>
        <w:t>意向受让申请书</w:t>
      </w:r>
    </w:p>
    <w:p>
      <w:pPr>
        <w:pStyle w:val="2"/>
        <w:pageBreakBefore w:val="0"/>
        <w:widowControl w:val="0"/>
        <w:kinsoku/>
        <w:wordWrap/>
        <w:overflowPunct/>
        <w:topLinePunct w:val="0"/>
        <w:autoSpaceDE/>
        <w:autoSpaceDN/>
        <w:bidi w:val="0"/>
        <w:adjustRightInd/>
        <w:snapToGrid/>
        <w:spacing w:before="0" w:after="0" w:line="480" w:lineRule="exact"/>
        <w:textAlignment w:val="auto"/>
        <w:rPr>
          <w:rFonts w:hint="eastAsia"/>
        </w:rPr>
      </w:pPr>
    </w:p>
    <w:p>
      <w:pPr>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陵水农村产权交易中心：</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u w:val="single"/>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Gior1gAAAAkBAAAPAAAAAAAA&#10;AAEAIAAAACIAAABkcnMvZG93bnJldi54bWxQSwECFAAUAAAACACHTuJAv4onqdsBAACgAwAADgAA&#10;AAAAAAABACAAAAAlAQAAZHJzL2Uyb0RvYy54bWxQSwUGAAAAAAYABgBZAQAAcgU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9pt;margin-top:49.75pt;height:0pt;width:0.05pt;z-index:251659264;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4aKivWAAAACQEAAA8AAAAAAAAA&#10;AQAgAAAAIgAAAGRycy9kb3ducmV2LnhtbFBLAQIUABQAAAAIAIdO4kCjF/iL2gEAAKADAAAOAAAA&#10;AAAAAAEAIAAAACUBAABkcnMvZTJvRG9jLnhtbFBLBQYAAAAABgAGAFkBAABxBQAAAAA=&#10;">
                <v:fill on="f" focussize="0,0"/>
                <v:stroke color="#000000" joinstyle="round"/>
                <v:imagedata o:title=""/>
                <o:lock v:ext="edit" aspectratio="f"/>
              </v:line>
            </w:pict>
          </mc:Fallback>
        </mc:AlternateContent>
      </w:r>
      <w:r>
        <w:rPr>
          <w:rFonts w:hint="eastAsia" w:ascii="仿宋" w:hAnsi="仿宋" w:eastAsia="仿宋" w:cs="仿宋"/>
          <w:bCs/>
          <w:sz w:val="28"/>
          <w:szCs w:val="28"/>
        </w:rPr>
        <w:t>根据有关农村产权流转交易的法律、法规及政策规定，本意向受让方现向贵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申请受让</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），并承诺：</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eastAsia="zh-CN"/>
        </w:rPr>
        <w:t>.我</w:t>
      </w:r>
      <w:r>
        <w:rPr>
          <w:rFonts w:hint="eastAsia" w:ascii="仿宋" w:hAnsi="仿宋" w:eastAsia="仿宋" w:cs="仿宋"/>
          <w:bCs/>
          <w:sz w:val="28"/>
          <w:szCs w:val="28"/>
        </w:rPr>
        <w:t>方申请受让本项目，并接受项目公开挂牌信息所载的全部受让要求，本受让行为已经过相应的有效内部决策并得到相应批准；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bCs/>
          <w:sz w:val="28"/>
          <w:szCs w:val="28"/>
          <w:lang w:eastAsia="zh-CN"/>
        </w:rPr>
        <w:t>.我</w:t>
      </w:r>
      <w:r>
        <w:rPr>
          <w:rFonts w:hint="eastAsia" w:ascii="仿宋" w:hAnsi="仿宋" w:eastAsia="仿宋" w:cs="仿宋"/>
          <w:bCs/>
          <w:sz w:val="28"/>
          <w:szCs w:val="28"/>
        </w:rPr>
        <w:t>方具有良好的财务状况、商业信用和农业投资经营能力，符合农村产权相关法律、法规及政策对受让方条件的规定；</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lang w:eastAsia="zh-CN"/>
        </w:rPr>
        <w:t>.我</w:t>
      </w:r>
      <w:r>
        <w:rPr>
          <w:rFonts w:hint="eastAsia" w:ascii="仿宋" w:hAnsi="仿宋" w:eastAsia="仿宋" w:cs="仿宋"/>
          <w:bCs/>
          <w:sz w:val="28"/>
          <w:szCs w:val="28"/>
        </w:rPr>
        <w:t>方对所填写的内容及提交的所有材料（包括原件、复印件）的真实性、合法性、有效性、完整性承担责任；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lang w:eastAsia="zh-CN"/>
        </w:rPr>
        <w:t>.我</w:t>
      </w:r>
      <w:r>
        <w:rPr>
          <w:rFonts w:hint="eastAsia" w:ascii="仿宋" w:hAnsi="仿宋" w:eastAsia="仿宋" w:cs="仿宋"/>
          <w:bCs/>
          <w:sz w:val="28"/>
          <w:szCs w:val="28"/>
        </w:rPr>
        <w:t>已知悉贵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的交易规则，并充分理解和认可，同意按照贵</w:t>
      </w:r>
      <w:r>
        <w:rPr>
          <w:rFonts w:hint="eastAsia" w:ascii="仿宋" w:hAnsi="仿宋" w:eastAsia="仿宋" w:cs="仿宋"/>
          <w:bCs/>
          <w:sz w:val="28"/>
          <w:szCs w:val="28"/>
          <w:lang w:val="en-US" w:eastAsia="zh-CN"/>
        </w:rPr>
        <w:t>中</w:t>
      </w:r>
      <w:r>
        <w:rPr>
          <w:rFonts w:hint="eastAsia" w:ascii="仿宋" w:hAnsi="仿宋" w:eastAsia="仿宋" w:cs="仿宋"/>
          <w:bCs/>
          <w:sz w:val="28"/>
          <w:szCs w:val="28"/>
        </w:rPr>
        <w:t>《陵水农村产权交易中心农村产权交易规则（试行）》等相关规定实施农村产权流转交易活动；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5</w:t>
      </w:r>
      <w:r>
        <w:rPr>
          <w:rFonts w:hint="eastAsia" w:ascii="仿宋" w:hAnsi="仿宋" w:eastAsia="仿宋" w:cs="仿宋"/>
          <w:bCs/>
          <w:sz w:val="28"/>
          <w:szCs w:val="28"/>
          <w:lang w:eastAsia="zh-CN"/>
        </w:rPr>
        <w:t>.我方</w:t>
      </w:r>
      <w:r>
        <w:rPr>
          <w:rFonts w:hint="eastAsia" w:ascii="仿宋" w:hAnsi="仿宋" w:eastAsia="仿宋" w:cs="仿宋"/>
          <w:bCs/>
          <w:sz w:val="28"/>
          <w:szCs w:val="28"/>
        </w:rPr>
        <w:t>已知悉并认可贵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的收费项目及标准，同意按规定交纳相关费用；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6</w:t>
      </w:r>
      <w:r>
        <w:rPr>
          <w:rFonts w:hint="eastAsia" w:ascii="仿宋" w:hAnsi="仿宋" w:eastAsia="仿宋" w:cs="仿宋"/>
          <w:bCs/>
          <w:sz w:val="28"/>
          <w:szCs w:val="28"/>
          <w:lang w:eastAsia="zh-CN"/>
        </w:rPr>
        <w:t>.</w:t>
      </w:r>
      <w:r>
        <w:rPr>
          <w:rFonts w:hint="eastAsia" w:ascii="仿宋" w:hAnsi="仿宋" w:eastAsia="仿宋" w:cs="仿宋"/>
          <w:bCs/>
          <w:sz w:val="28"/>
          <w:szCs w:val="28"/>
        </w:rPr>
        <w:t>本受让申请系我方真实意愿，一经作出不予撤回或变更，我方将及时办理相关手续，配合接受资格审核，严格遵守有关交易规则；</w:t>
      </w:r>
    </w:p>
    <w:p>
      <w:pPr>
        <w:pStyle w:val="2"/>
        <w:pageBreakBefore w:val="0"/>
        <w:widowControl w:val="0"/>
        <w:kinsoku/>
        <w:wordWrap/>
        <w:overflowPunct/>
        <w:topLinePunct w:val="0"/>
        <w:autoSpaceDE/>
        <w:autoSpaceDN/>
        <w:bidi w:val="0"/>
        <w:adjustRightInd/>
        <w:snapToGrid/>
        <w:spacing w:before="0" w:after="0" w:line="480" w:lineRule="exact"/>
        <w:textAlignment w:val="auto"/>
        <w:rPr>
          <w:rFonts w:hint="default" w:ascii="仿宋" w:hAnsi="仿宋" w:eastAsia="仿宋" w:cs="仿宋"/>
          <w:b w:val="0"/>
          <w:bCs w:val="0"/>
          <w:sz w:val="28"/>
          <w:szCs w:val="28"/>
          <w:lang w:val="en-US" w:eastAsia="zh-CN"/>
        </w:rPr>
      </w:pPr>
      <w:r>
        <w:rPr>
          <w:rFonts w:hint="eastAsia"/>
          <w:lang w:val="en-US" w:eastAsia="zh-CN"/>
        </w:rPr>
        <w:t xml:space="preserve">  </w:t>
      </w:r>
      <w:r>
        <w:rPr>
          <w:rFonts w:hint="eastAsia" w:ascii="仿宋" w:hAnsi="仿宋" w:eastAsia="仿宋" w:cs="仿宋"/>
          <w:b w:val="0"/>
          <w:bCs w:val="0"/>
          <w:sz w:val="28"/>
          <w:szCs w:val="28"/>
          <w:lang w:val="en-US" w:eastAsia="zh-CN"/>
        </w:rPr>
        <w:t xml:space="preserve"> 7.我方承诺按平台规定交纳交易保证金；若我方无故放弃或我方因自身原因放弃本项目的，或者中标后拒绝签订交易合同的，均可视为我方违约，我方交纳的交易保证金可全部作为违约金予以扣除；</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8</w:t>
      </w:r>
      <w:r>
        <w:rPr>
          <w:rFonts w:hint="eastAsia" w:ascii="仿宋" w:hAnsi="仿宋" w:eastAsia="仿宋" w:cs="仿宋"/>
          <w:bCs/>
          <w:sz w:val="28"/>
          <w:szCs w:val="28"/>
          <w:lang w:eastAsia="zh-CN"/>
        </w:rPr>
        <w:t>.我方</w:t>
      </w:r>
      <w:r>
        <w:rPr>
          <w:rFonts w:hint="eastAsia" w:ascii="仿宋" w:hAnsi="仿宋" w:eastAsia="仿宋" w:cs="仿宋"/>
          <w:bCs/>
          <w:sz w:val="28"/>
          <w:szCs w:val="28"/>
        </w:rPr>
        <w:t>承诺不通过其他渠道进行本项目流转交易。</w:t>
      </w:r>
    </w:p>
    <w:p>
      <w:pPr>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Cs/>
          <w:sz w:val="28"/>
          <w:szCs w:val="28"/>
        </w:rPr>
      </w:pPr>
    </w:p>
    <w:p>
      <w:pPr>
        <w:pageBreakBefore w:val="0"/>
        <w:widowControl w:val="0"/>
        <w:kinsoku/>
        <w:wordWrap/>
        <w:overflowPunct/>
        <w:topLinePunct w:val="0"/>
        <w:autoSpaceDE/>
        <w:autoSpaceDN/>
        <w:bidi w:val="0"/>
        <w:adjustRightInd/>
        <w:snapToGrid/>
        <w:spacing w:line="480" w:lineRule="exact"/>
        <w:ind w:firstLine="3080" w:firstLineChars="11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申请</w:t>
      </w:r>
      <w:r>
        <w:rPr>
          <w:rFonts w:hint="eastAsia" w:ascii="仿宋" w:hAnsi="仿宋" w:eastAsia="仿宋" w:cs="仿宋"/>
          <w:b w:val="0"/>
          <w:bCs w:val="0"/>
          <w:sz w:val="28"/>
          <w:szCs w:val="28"/>
          <w:lang w:val="en-US" w:eastAsia="zh-CN"/>
        </w:rPr>
        <w:t>单位</w:t>
      </w:r>
      <w:r>
        <w:rPr>
          <w:rFonts w:hint="eastAsia" w:ascii="仿宋" w:hAnsi="仿宋" w:eastAsia="仿宋" w:cs="仿宋"/>
          <w:b w:val="0"/>
          <w:bCs w:val="0"/>
          <w:sz w:val="28"/>
          <w:szCs w:val="28"/>
        </w:rPr>
        <w:t xml:space="preserve">盖章：                            </w:t>
      </w:r>
    </w:p>
    <w:p>
      <w:pPr>
        <w:pageBreakBefore w:val="0"/>
        <w:widowControl w:val="0"/>
        <w:kinsoku/>
        <w:wordWrap/>
        <w:overflowPunct/>
        <w:topLinePunct w:val="0"/>
        <w:autoSpaceDE/>
        <w:autoSpaceDN/>
        <w:bidi w:val="0"/>
        <w:adjustRightInd/>
        <w:snapToGrid/>
        <w:spacing w:line="480" w:lineRule="exact"/>
        <w:ind w:firstLine="3080" w:firstLineChars="11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法定代表人/负责人签字：                   </w:t>
      </w:r>
    </w:p>
    <w:p>
      <w:pPr>
        <w:spacing w:line="360" w:lineRule="auto"/>
        <w:ind w:left="240" w:hanging="280" w:hangingChars="10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年   月   日</w:t>
      </w:r>
    </w:p>
    <w:p>
      <w:pPr>
        <w:spacing w:line="360" w:lineRule="auto"/>
        <w:jc w:val="both"/>
        <w:rPr>
          <w:rFonts w:ascii="Times New Roman" w:hAnsi="Times New Roman"/>
          <w:b/>
          <w:bCs/>
          <w:sz w:val="32"/>
          <w:szCs w:val="32"/>
        </w:rPr>
      </w:pPr>
    </w:p>
    <w:p>
      <w:pPr>
        <w:spacing w:line="360" w:lineRule="auto"/>
        <w:ind w:firstLine="1280" w:firstLineChars="400"/>
        <w:jc w:val="both"/>
        <w:rPr>
          <w:rFonts w:ascii="Times New Roman" w:hAnsi="Times New Roman"/>
          <w:bCs/>
        </w:rPr>
      </w:pPr>
      <w:r>
        <w:rPr>
          <w:rFonts w:hint="eastAsia" w:ascii="方正小标宋简体" w:hAnsi="方正小标宋简体" w:eastAsia="方正小标宋简体" w:cs="方正小标宋简体"/>
          <w:b w:val="0"/>
          <w:bCs w:val="0"/>
          <w:sz w:val="32"/>
          <w:szCs w:val="32"/>
          <w:lang w:val="en-US" w:eastAsia="zh-CN"/>
        </w:rPr>
        <w:t>陵水县</w:t>
      </w:r>
      <w:r>
        <w:rPr>
          <w:rFonts w:hint="eastAsia" w:ascii="方正小标宋简体" w:hAnsi="方正小标宋简体" w:eastAsia="方正小标宋简体" w:cs="方正小标宋简体"/>
          <w:b w:val="0"/>
          <w:bCs w:val="0"/>
          <w:sz w:val="32"/>
          <w:szCs w:val="32"/>
        </w:rPr>
        <w:t>农村产权流转交易意向受让方登记表</w:t>
      </w:r>
    </w:p>
    <w:tbl>
      <w:tblPr>
        <w:tblStyle w:val="9"/>
        <w:tblW w:w="9643" w:type="dxa"/>
        <w:jc w:val="center"/>
        <w:tblInd w:w="0" w:type="dxa"/>
        <w:tblLayout w:type="fixed"/>
        <w:tblCellMar>
          <w:top w:w="0" w:type="dxa"/>
          <w:left w:w="0" w:type="dxa"/>
          <w:bottom w:w="0" w:type="dxa"/>
          <w:right w:w="0" w:type="dxa"/>
        </w:tblCellMar>
      </w:tblPr>
      <w:tblGrid>
        <w:gridCol w:w="1478"/>
        <w:gridCol w:w="1363"/>
        <w:gridCol w:w="1175"/>
        <w:gridCol w:w="1037"/>
        <w:gridCol w:w="863"/>
        <w:gridCol w:w="200"/>
        <w:gridCol w:w="825"/>
        <w:gridCol w:w="187"/>
        <w:gridCol w:w="63"/>
        <w:gridCol w:w="410"/>
        <w:gridCol w:w="439"/>
        <w:gridCol w:w="273"/>
        <w:gridCol w:w="1330"/>
      </w:tblGrid>
      <w:tr>
        <w:tblPrEx>
          <w:tblLayout w:type="fixed"/>
          <w:tblCellMar>
            <w:top w:w="0" w:type="dxa"/>
            <w:left w:w="0" w:type="dxa"/>
            <w:bottom w:w="0" w:type="dxa"/>
            <w:right w:w="0" w:type="dxa"/>
          </w:tblCellMar>
        </w:tblPrEx>
        <w:trPr>
          <w:trHeight w:val="492" w:hRule="atLeast"/>
          <w:jc w:val="center"/>
        </w:trPr>
        <w:tc>
          <w:tcPr>
            <w:tcW w:w="1478"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Times New Roman" w:hAnsi="Times New Roman"/>
                <w:bCs/>
                <w:sz w:val="18"/>
                <w:szCs w:val="18"/>
              </w:rPr>
            </w:pPr>
            <w:r>
              <w:rPr>
                <w:rFonts w:hint="eastAsia" w:ascii="黑体" w:hAnsi="黑体" w:eastAsia="黑体" w:cs="黑体"/>
                <w:bCs/>
                <w:sz w:val="21"/>
                <w:szCs w:val="21"/>
              </w:rPr>
              <w:t>意向受让方</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名  称</w:t>
            </w:r>
          </w:p>
        </w:tc>
        <w:tc>
          <w:tcPr>
            <w:tcW w:w="410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09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lang w:val="en-US" w:eastAsia="zh-CN"/>
              </w:rPr>
              <w:t>经办</w:t>
            </w:r>
            <w:r>
              <w:rPr>
                <w:rFonts w:hint="eastAsia" w:ascii="楷体" w:hAnsi="楷体" w:eastAsia="楷体" w:cs="楷体"/>
                <w:sz w:val="21"/>
                <w:szCs w:val="21"/>
              </w:rPr>
              <w:t>人</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442"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sz w:val="18"/>
                <w:szCs w:val="18"/>
              </w:rPr>
            </w:pPr>
            <w:r>
              <w:rPr>
                <w:rFonts w:hint="eastAsia" w:ascii="楷体" w:hAnsi="楷体" w:eastAsia="楷体" w:cs="楷体"/>
                <w:sz w:val="21"/>
                <w:szCs w:val="21"/>
              </w:rPr>
              <w:t>地  址</w:t>
            </w:r>
          </w:p>
        </w:tc>
        <w:tc>
          <w:tcPr>
            <w:tcW w:w="410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09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电  话</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567" w:hRule="atLeast"/>
          <w:jc w:val="center"/>
        </w:trPr>
        <w:tc>
          <w:tcPr>
            <w:tcW w:w="1478" w:type="dxa"/>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
                <w:bCs/>
                <w:sz w:val="18"/>
                <w:szCs w:val="18"/>
              </w:rPr>
            </w:pPr>
            <w:r>
              <w:rPr>
                <w:rFonts w:hint="eastAsia" w:ascii="黑体" w:hAnsi="黑体" w:eastAsia="黑体" w:cs="黑体"/>
                <w:bCs/>
                <w:sz w:val="21"/>
                <w:szCs w:val="21"/>
              </w:rPr>
              <w:t>受让类型</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15" w:firstLineChars="150"/>
              <w:rPr>
                <w:rFonts w:ascii="Times New Roman" w:hAnsi="Times New Roman"/>
                <w:sz w:val="18"/>
                <w:szCs w:val="18"/>
              </w:rPr>
            </w:pPr>
            <w:r>
              <w:rPr>
                <w:rFonts w:hint="eastAsia" w:ascii="仿宋" w:hAnsi="仿宋" w:eastAsia="仿宋" w:cs="仿宋"/>
                <w:sz w:val="21"/>
                <w:szCs w:val="21"/>
              </w:rPr>
              <w:sym w:font="Wingdings 2" w:char="00A3"/>
            </w:r>
            <w:r>
              <w:rPr>
                <w:rFonts w:hint="eastAsia" w:ascii="仿宋" w:hAnsi="仿宋" w:eastAsia="仿宋" w:cs="仿宋"/>
                <w:sz w:val="21"/>
                <w:szCs w:val="21"/>
              </w:rPr>
              <w:t>单独受让        □联合受让，联合受让方名称</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trHeight w:val="490" w:hRule="atLeast"/>
          <w:jc w:val="center"/>
        </w:trPr>
        <w:tc>
          <w:tcPr>
            <w:tcW w:w="1478" w:type="dxa"/>
            <w:vMerge w:val="restart"/>
            <w:tcBorders>
              <w:left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r>
              <w:rPr>
                <w:rFonts w:hint="eastAsia" w:ascii="黑体" w:hAnsi="黑体" w:eastAsia="黑体" w:cs="黑体"/>
                <w:bCs/>
                <w:sz w:val="21"/>
                <w:szCs w:val="21"/>
              </w:rPr>
              <w:t>委托会员</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委托机构</w:t>
            </w:r>
          </w:p>
        </w:tc>
        <w:tc>
          <w:tcPr>
            <w:tcW w:w="327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4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会员代码</w:t>
            </w:r>
          </w:p>
        </w:tc>
        <w:tc>
          <w:tcPr>
            <w:tcW w:w="20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41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联系人</w:t>
            </w:r>
          </w:p>
        </w:tc>
        <w:tc>
          <w:tcPr>
            <w:tcW w:w="327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4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联系人电话</w:t>
            </w:r>
          </w:p>
        </w:tc>
        <w:tc>
          <w:tcPr>
            <w:tcW w:w="20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465" w:hRule="atLeast"/>
          <w:jc w:val="center"/>
        </w:trPr>
        <w:tc>
          <w:tcPr>
            <w:tcW w:w="1478" w:type="dxa"/>
            <w:vMerge w:val="restart"/>
            <w:tcBorders>
              <w:top w:val="nil"/>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r>
              <w:rPr>
                <w:rFonts w:hint="eastAsia" w:ascii="黑体" w:hAnsi="黑体" w:eastAsia="黑体" w:cs="黑体"/>
                <w:bCs/>
                <w:sz w:val="21"/>
                <w:szCs w:val="21"/>
              </w:rPr>
              <w:t>基本情况</w:t>
            </w:r>
          </w:p>
        </w:tc>
        <w:tc>
          <w:tcPr>
            <w:tcW w:w="8165" w:type="dxa"/>
            <w:gridSpan w:val="12"/>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黑体" w:hAnsi="黑体" w:eastAsia="黑体" w:cs="黑体"/>
                <w:bCs/>
                <w:sz w:val="21"/>
                <w:szCs w:val="21"/>
              </w:rPr>
              <w:t>法人或其他组织</w:t>
            </w:r>
          </w:p>
        </w:tc>
      </w:tr>
      <w:tr>
        <w:tblPrEx>
          <w:tblLayout w:type="fixed"/>
          <w:tblCellMar>
            <w:top w:w="0" w:type="dxa"/>
            <w:left w:w="0" w:type="dxa"/>
            <w:bottom w:w="0" w:type="dxa"/>
            <w:right w:w="0" w:type="dxa"/>
          </w:tblCellMar>
        </w:tblPrEx>
        <w:trPr>
          <w:cantSplit/>
          <w:trHeight w:val="465"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详细地址</w:t>
            </w:r>
          </w:p>
        </w:tc>
        <w:tc>
          <w:tcPr>
            <w:tcW w:w="6802" w:type="dxa"/>
            <w:gridSpan w:val="11"/>
            <w:tcBorders>
              <w:top w:val="nil"/>
              <w:left w:val="nil"/>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成立时间</w:t>
            </w:r>
          </w:p>
        </w:tc>
        <w:tc>
          <w:tcPr>
            <w:tcW w:w="3275" w:type="dxa"/>
            <w:gridSpan w:val="4"/>
            <w:tcBorders>
              <w:top w:val="nil"/>
              <w:left w:val="nil"/>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c>
          <w:tcPr>
            <w:tcW w:w="1924" w:type="dxa"/>
            <w:gridSpan w:val="5"/>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注册资本(万元)</w:t>
            </w:r>
          </w:p>
        </w:tc>
        <w:tc>
          <w:tcPr>
            <w:tcW w:w="1603" w:type="dxa"/>
            <w:gridSpan w:val="2"/>
            <w:tcBorders>
              <w:top w:val="nil"/>
              <w:left w:val="nil"/>
              <w:bottom w:val="single" w:color="auto" w:sz="4" w:space="0"/>
              <w:right w:val="single" w:color="auto" w:sz="4" w:space="0"/>
            </w:tcBorders>
            <w:noWrap w:val="0"/>
            <w:vAlign w:val="bottom"/>
          </w:tcPr>
          <w:p>
            <w:pPr>
              <w:spacing w:line="360" w:lineRule="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452"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企业规模</w:t>
            </w:r>
          </w:p>
        </w:tc>
        <w:tc>
          <w:tcPr>
            <w:tcW w:w="3275" w:type="dxa"/>
            <w:gridSpan w:val="4"/>
            <w:tcBorders>
              <w:top w:val="nil"/>
              <w:left w:val="nil"/>
              <w:bottom w:val="single" w:color="auto" w:sz="4" w:space="0"/>
              <w:right w:val="single" w:color="auto" w:sz="4" w:space="0"/>
            </w:tcBorders>
            <w:noWrap w:val="0"/>
            <w:vAlign w:val="bottom"/>
          </w:tcPr>
          <w:p>
            <w:pPr>
              <w:spacing w:line="360" w:lineRule="auto"/>
              <w:jc w:val="center"/>
              <w:rPr>
                <w:rFonts w:ascii="Times New Roman" w:hAnsi="Times New Roman"/>
                <w:sz w:val="18"/>
                <w:szCs w:val="18"/>
              </w:rPr>
            </w:pPr>
            <w:r>
              <w:rPr>
                <w:rFonts w:hint="eastAsia" w:ascii="仿宋" w:hAnsi="仿宋" w:eastAsia="仿宋" w:cs="仿宋"/>
                <w:sz w:val="21"/>
                <w:szCs w:val="21"/>
              </w:rPr>
              <w:t>□大型   □中型   □小型</w:t>
            </w:r>
          </w:p>
        </w:tc>
        <w:tc>
          <w:tcPr>
            <w:tcW w:w="1924" w:type="dxa"/>
            <w:gridSpan w:val="5"/>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法定代表人/负责人</w:t>
            </w:r>
          </w:p>
        </w:tc>
        <w:tc>
          <w:tcPr>
            <w:tcW w:w="1603" w:type="dxa"/>
            <w:gridSpan w:val="2"/>
            <w:tcBorders>
              <w:top w:val="nil"/>
              <w:left w:val="nil"/>
              <w:bottom w:val="single" w:color="auto" w:sz="4" w:space="0"/>
              <w:right w:val="single" w:color="auto" w:sz="4" w:space="0"/>
            </w:tcBorders>
            <w:noWrap w:val="0"/>
            <w:vAlign w:val="bottom"/>
          </w:tcPr>
          <w:p>
            <w:pPr>
              <w:spacing w:line="360" w:lineRule="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90"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所属行业</w:t>
            </w:r>
          </w:p>
        </w:tc>
        <w:tc>
          <w:tcPr>
            <w:tcW w:w="6802" w:type="dxa"/>
            <w:gridSpan w:val="11"/>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□农林牧渔业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□工业  □建筑业  □交通运输业  □通信业  □贸易业  □社会服务业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□地质勘探及水利业  □住宿餐饮及旅游业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□房地产 </w:t>
            </w:r>
          </w:p>
          <w:p>
            <w:pPr>
              <w:spacing w:line="360" w:lineRule="auto"/>
              <w:rPr>
                <w:rFonts w:hint="eastAsia" w:ascii="仿宋" w:hAnsi="仿宋" w:eastAsia="仿宋" w:cs="仿宋"/>
                <w:sz w:val="21"/>
                <w:szCs w:val="21"/>
              </w:rPr>
            </w:pPr>
            <w:r>
              <w:rPr>
                <w:rFonts w:hint="eastAsia" w:ascii="仿宋" w:hAnsi="仿宋" w:eastAsia="仿宋" w:cs="仿宋"/>
                <w:sz w:val="21"/>
                <w:szCs w:val="21"/>
              </w:rPr>
              <w:t>□教育文化广播业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□仓储业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□信息技术服务业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□金融业 </w:t>
            </w:r>
          </w:p>
          <w:p>
            <w:pPr>
              <w:spacing w:line="360" w:lineRule="auto"/>
              <w:rPr>
                <w:rFonts w:ascii="Times New Roman" w:hAnsi="Times New Roman"/>
                <w:sz w:val="18"/>
                <w:szCs w:val="18"/>
              </w:rPr>
            </w:pPr>
            <w:r>
              <w:rPr>
                <w:rFonts w:hint="eastAsia" w:ascii="仿宋" w:hAnsi="仿宋" w:eastAsia="仿宋" w:cs="仿宋"/>
                <w:sz w:val="21"/>
                <w:szCs w:val="21"/>
              </w:rPr>
              <w:t xml:space="preserve">□科研及技术服务业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□其他行业：</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1855"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企业类别</w:t>
            </w:r>
          </w:p>
        </w:tc>
        <w:tc>
          <w:tcPr>
            <w:tcW w:w="6802" w:type="dxa"/>
            <w:gridSpan w:val="11"/>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□国有独资公司（企业）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□国有控股企业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□国有参股企业</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□国有事业单位、社会团体等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□内资民营企业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□民营社团</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□中外合资经营企业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□中外合作经营企业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□外商独资企业</w:t>
            </w:r>
          </w:p>
          <w:p>
            <w:pPr>
              <w:spacing w:line="360" w:lineRule="auto"/>
              <w:rPr>
                <w:rFonts w:ascii="Times New Roman" w:hAnsi="Times New Roman"/>
                <w:sz w:val="18"/>
                <w:szCs w:val="18"/>
              </w:rPr>
            </w:pPr>
            <w:r>
              <w:rPr>
                <w:rFonts w:hint="eastAsia" w:ascii="仿宋" w:hAnsi="仿宋" w:eastAsia="仿宋" w:cs="仿宋"/>
                <w:sz w:val="21"/>
                <w:szCs w:val="21"/>
              </w:rPr>
              <w:t>□其他类别：</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组织机构代码</w:t>
            </w:r>
          </w:p>
        </w:tc>
        <w:tc>
          <w:tcPr>
            <w:tcW w:w="6802" w:type="dxa"/>
            <w:gridSpan w:val="11"/>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lang w:val="en-US" w:eastAsia="zh-CN"/>
              </w:rPr>
              <w:t>主要</w:t>
            </w:r>
            <w:r>
              <w:rPr>
                <w:rFonts w:hint="eastAsia" w:ascii="楷体" w:hAnsi="楷体" w:eastAsia="楷体" w:cs="楷体"/>
                <w:sz w:val="21"/>
                <w:szCs w:val="21"/>
              </w:rPr>
              <w:t>经营范围</w:t>
            </w:r>
          </w:p>
        </w:tc>
        <w:tc>
          <w:tcPr>
            <w:tcW w:w="6802" w:type="dxa"/>
            <w:gridSpan w:val="11"/>
            <w:tcBorders>
              <w:top w:val="single" w:color="auto" w:sz="4" w:space="0"/>
              <w:left w:val="nil"/>
              <w:bottom w:val="single" w:color="auto" w:sz="4" w:space="0"/>
              <w:right w:val="single" w:color="auto" w:sz="4" w:space="0"/>
            </w:tcBorders>
            <w:noWrap w:val="0"/>
            <w:vAlign w:val="bottom"/>
          </w:tcPr>
          <w:p>
            <w:pPr>
              <w:spacing w:line="360" w:lineRule="auto"/>
              <w:rPr>
                <w:rFonts w:ascii="Times New Roman" w:hAnsi="Times New Roman"/>
                <w:sz w:val="18"/>
                <w:szCs w:val="18"/>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近期资产状况</w:t>
            </w:r>
          </w:p>
        </w:tc>
        <w:tc>
          <w:tcPr>
            <w:tcW w:w="4287"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仿宋" w:hAnsi="仿宋" w:eastAsia="仿宋" w:cs="仿宋"/>
                <w:sz w:val="21"/>
                <w:szCs w:val="21"/>
              </w:rPr>
              <w:t>以下数据出自：□审计报告 □财务报表</w:t>
            </w:r>
          </w:p>
        </w:tc>
        <w:tc>
          <w:tcPr>
            <w:tcW w:w="2515"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ind w:left="48"/>
              <w:rPr>
                <w:rFonts w:ascii="Times New Roman" w:hAnsi="Times New Roman"/>
                <w:sz w:val="18"/>
                <w:szCs w:val="18"/>
              </w:rPr>
            </w:pPr>
            <w:r>
              <w:rPr>
                <w:rFonts w:hint="eastAsia" w:ascii="仿宋" w:hAnsi="仿宋" w:eastAsia="仿宋" w:cs="仿宋"/>
                <w:sz w:val="21"/>
                <w:szCs w:val="21"/>
              </w:rPr>
              <w:t>报表时间：</w:t>
            </w:r>
          </w:p>
        </w:tc>
      </w:tr>
      <w:tr>
        <w:tblPrEx>
          <w:tblLayout w:type="fixed"/>
          <w:tblCellMar>
            <w:top w:w="0" w:type="dxa"/>
            <w:left w:w="0" w:type="dxa"/>
            <w:bottom w:w="0" w:type="dxa"/>
            <w:right w:w="0" w:type="dxa"/>
          </w:tblCellMar>
        </w:tblPrEx>
        <w:trPr>
          <w:cantSplit/>
          <w:trHeight w:val="784"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总资产</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c>
          <w:tcPr>
            <w:tcW w:w="1063"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总负债</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012"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c>
          <w:tcPr>
            <w:tcW w:w="1185"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净资产</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8165" w:type="dxa"/>
            <w:gridSpan w:val="12"/>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bCs/>
                <w:sz w:val="21"/>
                <w:szCs w:val="21"/>
              </w:rPr>
              <w:t>自 然 人</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sz w:val="18"/>
                <w:szCs w:val="18"/>
                <w:lang w:eastAsia="zh-CN"/>
              </w:rPr>
            </w:pPr>
            <w:r>
              <w:rPr>
                <w:rFonts w:hint="eastAsia" w:ascii="楷体" w:hAnsi="楷体" w:eastAsia="楷体" w:cs="楷体"/>
                <w:sz w:val="21"/>
                <w:szCs w:val="21"/>
              </w:rPr>
              <w:t>证件</w:t>
            </w:r>
            <w:r>
              <w:rPr>
                <w:rFonts w:hint="eastAsia" w:ascii="楷体" w:hAnsi="楷体" w:eastAsia="楷体" w:cs="楷体"/>
                <w:sz w:val="21"/>
                <w:szCs w:val="21"/>
                <w:lang w:val="en-US" w:eastAsia="zh-CN"/>
              </w:rPr>
              <w:t>类型</w:t>
            </w:r>
          </w:p>
        </w:tc>
        <w:tc>
          <w:tcPr>
            <w:tcW w:w="3075"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default" w:ascii="Times New Roman" w:hAnsi="Times New Roman" w:eastAsia="宋体"/>
                <w:sz w:val="18"/>
                <w:szCs w:val="18"/>
                <w:lang w:val="en-US" w:eastAsia="zh-CN"/>
              </w:rPr>
            </w:pPr>
            <w:r>
              <w:rPr>
                <w:rFonts w:hint="eastAsia" w:ascii="仿宋" w:hAnsi="仿宋" w:eastAsia="仿宋" w:cs="仿宋"/>
                <w:sz w:val="21"/>
                <w:szCs w:val="21"/>
                <w:lang w:val="en-US" w:eastAsia="zh-CN"/>
              </w:rPr>
              <w:t>□身份证  □户口簿</w:t>
            </w: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证件号码</w:t>
            </w:r>
          </w:p>
        </w:tc>
        <w:tc>
          <w:tcPr>
            <w:tcW w:w="2515"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工作单位</w:t>
            </w:r>
          </w:p>
        </w:tc>
        <w:tc>
          <w:tcPr>
            <w:tcW w:w="3075"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Times New Roman" w:hAnsi="Times New Roman"/>
                <w:sz w:val="18"/>
                <w:szCs w:val="18"/>
              </w:rPr>
            </w:pP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职务</w:t>
            </w:r>
          </w:p>
        </w:tc>
        <w:tc>
          <w:tcPr>
            <w:tcW w:w="2515"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资金来源</w:t>
            </w:r>
          </w:p>
        </w:tc>
        <w:tc>
          <w:tcPr>
            <w:tcW w:w="6802" w:type="dxa"/>
            <w:gridSpan w:val="11"/>
            <w:tcBorders>
              <w:top w:val="single" w:color="auto" w:sz="4" w:space="0"/>
              <w:left w:val="nil"/>
              <w:bottom w:val="single" w:color="auto" w:sz="4" w:space="0"/>
              <w:right w:val="single" w:color="auto" w:sz="4" w:space="0"/>
            </w:tcBorders>
            <w:noWrap w:val="0"/>
            <w:vAlign w:val="center"/>
          </w:tcPr>
          <w:p>
            <w:pPr>
              <w:spacing w:line="360" w:lineRule="auto"/>
              <w:jc w:val="left"/>
              <w:rPr>
                <w:rFonts w:ascii="Times New Roman" w:hAnsi="Times New Roman"/>
                <w:sz w:val="18"/>
                <w:szCs w:val="18"/>
              </w:rPr>
            </w:pPr>
            <w:r>
              <w:rPr>
                <w:rFonts w:ascii="Times New Roman" w:hAnsi="Times New Roman"/>
                <w:sz w:val="18"/>
                <w:szCs w:val="18"/>
              </w:rPr>
              <w:t xml:space="preserve"> </w:t>
            </w:r>
            <w:r>
              <w:rPr>
                <w:rFonts w:hint="eastAsia" w:ascii="仿宋" w:hAnsi="仿宋" w:eastAsia="仿宋" w:cs="仿宋"/>
                <w:sz w:val="21"/>
                <w:szCs w:val="21"/>
              </w:rPr>
              <w:t xml:space="preserve">    □自有          □融资         □其他：</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1019"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r>
              <w:rPr>
                <w:rFonts w:hint="eastAsia" w:ascii="黑体" w:hAnsi="黑体" w:eastAsia="黑体" w:cs="黑体"/>
                <w:bCs/>
                <w:sz w:val="21"/>
                <w:szCs w:val="21"/>
              </w:rPr>
              <w:t>流转用途</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种植业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畜牧业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□水产养殖</w:t>
            </w:r>
            <w:r>
              <w:rPr>
                <w:rFonts w:hint="eastAsia" w:ascii="仿宋" w:hAnsi="仿宋" w:eastAsia="仿宋" w:cs="仿宋"/>
                <w:sz w:val="21"/>
                <w:szCs w:val="21"/>
                <w:lang w:val="en-US" w:eastAsia="zh-CN"/>
              </w:rPr>
              <w:t>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□休闲观光农业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商业   </w:t>
            </w:r>
            <w:r>
              <w:rPr>
                <w:rFonts w:hint="eastAsia" w:ascii="仿宋" w:hAnsi="仿宋" w:eastAsia="仿宋" w:cs="仿宋"/>
                <w:sz w:val="21"/>
                <w:szCs w:val="21"/>
              </w:rPr>
              <w:sym w:font="Wingdings 2" w:char="00A3"/>
            </w:r>
            <w:r>
              <w:rPr>
                <w:rFonts w:hint="eastAsia" w:ascii="仿宋" w:hAnsi="仿宋" w:eastAsia="仿宋" w:cs="仿宋"/>
                <w:sz w:val="21"/>
                <w:szCs w:val="21"/>
                <w:lang w:val="en-US" w:eastAsia="zh-CN"/>
              </w:rPr>
              <w:t>农产品加工业</w:t>
            </w:r>
          </w:p>
          <w:p>
            <w:pPr>
              <w:spacing w:line="360" w:lineRule="auto"/>
              <w:rPr>
                <w:rFonts w:ascii="Times New Roman" w:hAnsi="Times New Roman"/>
                <w:sz w:val="18"/>
                <w:szCs w:val="18"/>
                <w:u w:val="single"/>
              </w:rPr>
            </w:pPr>
            <w:r>
              <w:rPr>
                <w:rFonts w:hint="eastAsia" w:ascii="仿宋" w:hAnsi="仿宋" w:eastAsia="仿宋" w:cs="仿宋"/>
                <w:sz w:val="21"/>
                <w:szCs w:val="21"/>
              </w:rPr>
              <w:t>□其他</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Layout w:type="fixed"/>
          <w:tblCellMar>
            <w:top w:w="0" w:type="dxa"/>
            <w:left w:w="0" w:type="dxa"/>
            <w:bottom w:w="0" w:type="dxa"/>
            <w:right w:w="0" w:type="dxa"/>
          </w:tblCellMar>
        </w:tblPrEx>
        <w:trPr>
          <w:cantSplit/>
          <w:trHeight w:val="937"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黑体" w:hAnsi="黑体" w:eastAsia="黑体" w:cs="黑体"/>
                <w:bCs/>
                <w:sz w:val="21"/>
                <w:szCs w:val="21"/>
              </w:rPr>
              <w:t>受让意向描述</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sz w:val="21"/>
                <w:szCs w:val="21"/>
              </w:rPr>
            </w:pPr>
            <w:r>
              <w:rPr>
                <w:rFonts w:hint="eastAsia" w:ascii="仿宋" w:hAnsi="仿宋" w:eastAsia="仿宋" w:cs="仿宋"/>
                <w:sz w:val="21"/>
                <w:szCs w:val="21"/>
              </w:rPr>
              <w:t>有意受让该</w:t>
            </w:r>
            <w:r>
              <w:rPr>
                <w:rFonts w:hint="eastAsia" w:ascii="仿宋" w:hAnsi="仿宋" w:eastAsia="仿宋" w:cs="仿宋"/>
                <w:sz w:val="21"/>
                <w:szCs w:val="21"/>
                <w:lang w:val="en-US" w:eastAsia="zh-CN"/>
              </w:rPr>
              <w:t>标的</w:t>
            </w:r>
            <w:r>
              <w:rPr>
                <w:rFonts w:hint="eastAsia" w:ascii="仿宋" w:hAnsi="仿宋" w:eastAsia="仿宋" w:cs="仿宋"/>
                <w:sz w:val="21"/>
                <w:szCs w:val="21"/>
              </w:rPr>
              <w:t>，并接受项目</w:t>
            </w:r>
            <w:r>
              <w:rPr>
                <w:rFonts w:hint="eastAsia" w:ascii="仿宋" w:hAnsi="仿宋" w:eastAsia="仿宋" w:cs="仿宋"/>
                <w:sz w:val="21"/>
                <w:szCs w:val="21"/>
                <w:lang w:val="en-US" w:eastAsia="zh-CN"/>
              </w:rPr>
              <w:t>标的</w:t>
            </w:r>
            <w:r>
              <w:rPr>
                <w:rFonts w:hint="eastAsia" w:ascii="仿宋" w:hAnsi="仿宋" w:eastAsia="仿宋" w:cs="仿宋"/>
                <w:sz w:val="21"/>
                <w:szCs w:val="21"/>
              </w:rPr>
              <w:t>公开挂牌信息所载的全部受让要求</w:t>
            </w:r>
            <w:r>
              <w:rPr>
                <w:rFonts w:hint="eastAsia" w:ascii="仿宋" w:hAnsi="仿宋" w:eastAsia="仿宋" w:cs="仿宋"/>
                <w:sz w:val="21"/>
                <w:szCs w:val="21"/>
                <w:lang w:eastAsia="zh-CN"/>
              </w:rPr>
              <w:t>。</w:t>
            </w:r>
          </w:p>
        </w:tc>
      </w:tr>
      <w:tr>
        <w:tblPrEx>
          <w:tblLayout w:type="fixed"/>
          <w:tblCellMar>
            <w:top w:w="0" w:type="dxa"/>
            <w:left w:w="0" w:type="dxa"/>
            <w:bottom w:w="0" w:type="dxa"/>
            <w:right w:w="0" w:type="dxa"/>
          </w:tblCellMar>
        </w:tblPrEx>
        <w:trPr>
          <w:cantSplit/>
          <w:trHeight w:val="567" w:hRule="atLeast"/>
          <w:jc w:val="center"/>
        </w:trPr>
        <w:tc>
          <w:tcPr>
            <w:tcW w:w="1478" w:type="dxa"/>
            <w:vMerge w:val="restart"/>
            <w:tcBorders>
              <w:top w:val="nil"/>
              <w:left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r>
              <w:rPr>
                <w:rFonts w:hint="eastAsia" w:ascii="黑体" w:hAnsi="黑体" w:eastAsia="黑体" w:cs="黑体"/>
                <w:bCs/>
                <w:sz w:val="21"/>
                <w:szCs w:val="21"/>
              </w:rPr>
              <w:t>附件</w:t>
            </w:r>
          </w:p>
          <w:p>
            <w:pPr>
              <w:spacing w:line="360" w:lineRule="auto"/>
              <w:jc w:val="center"/>
              <w:rPr>
                <w:rFonts w:ascii="Times New Roman" w:hAnsi="Times New Roman"/>
                <w:bCs/>
                <w:sz w:val="18"/>
                <w:szCs w:val="18"/>
              </w:rPr>
            </w:pPr>
            <w:r>
              <w:rPr>
                <w:rFonts w:hint="eastAsia" w:ascii="黑体" w:hAnsi="黑体" w:eastAsia="黑体" w:cs="黑体"/>
                <w:bCs/>
                <w:sz w:val="21"/>
                <w:szCs w:val="21"/>
              </w:rPr>
              <w:t>（</w:t>
            </w:r>
            <w:r>
              <w:rPr>
                <w:rFonts w:hint="eastAsia" w:ascii="黑体" w:hAnsi="黑体" w:eastAsia="黑体" w:cs="黑体"/>
                <w:bCs/>
                <w:color w:val="000000"/>
                <w:sz w:val="21"/>
                <w:szCs w:val="21"/>
              </w:rPr>
              <w:t>附件是否齐全，如齐全，请在相应材料前划√</w:t>
            </w:r>
            <w:r>
              <w:rPr>
                <w:rFonts w:hint="eastAsia" w:ascii="黑体" w:hAnsi="黑体" w:eastAsia="黑体" w:cs="黑体"/>
                <w:bCs/>
                <w:sz w:val="21"/>
                <w:szCs w:val="21"/>
              </w:rPr>
              <w:t>）</w:t>
            </w: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自然人</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w:t>
            </w:r>
            <w:r>
              <w:rPr>
                <w:rFonts w:hint="eastAsia" w:ascii="仿宋" w:hAnsi="仿宋" w:eastAsia="仿宋" w:cs="仿宋"/>
                <w:bCs/>
                <w:sz w:val="21"/>
                <w:szCs w:val="21"/>
              </w:rPr>
              <w:t>自然人身份证复印件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经办人授权委托书原件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经办人身份证复印件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项目网络竞价须知</w:t>
            </w:r>
          </w:p>
        </w:tc>
        <w:tc>
          <w:tcPr>
            <w:tcW w:w="2452" w:type="dxa"/>
            <w:gridSpan w:val="4"/>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成交方式为网络竞价</w:t>
            </w:r>
          </w:p>
          <w:p>
            <w:pPr>
              <w:spacing w:line="360" w:lineRule="auto"/>
              <w:jc w:val="center"/>
              <w:rPr>
                <w:rFonts w:hint="eastAsia" w:ascii="仿宋" w:hAnsi="仿宋" w:eastAsia="仿宋" w:cs="仿宋"/>
                <w:sz w:val="21"/>
                <w:szCs w:val="21"/>
              </w:rPr>
            </w:pPr>
            <w:r>
              <w:rPr>
                <w:rFonts w:hint="eastAsia" w:ascii="黑体" w:hAnsi="黑体" w:eastAsia="黑体" w:cs="黑体"/>
                <w:b w:val="0"/>
                <w:bCs w:val="0"/>
                <w:sz w:val="21"/>
                <w:szCs w:val="21"/>
              </w:rPr>
              <w:t>时须提供</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bCs/>
                <w:sz w:val="21"/>
                <w:szCs w:val="21"/>
              </w:rPr>
              <w:t>网络竞价项目承诺</w:t>
            </w:r>
            <w:r>
              <w:rPr>
                <w:rFonts w:hint="eastAsia" w:ascii="仿宋" w:hAnsi="仿宋" w:eastAsia="仿宋" w:cs="仿宋"/>
                <w:bCs/>
                <w:sz w:val="21"/>
                <w:szCs w:val="21"/>
                <w:lang w:val="en-US" w:eastAsia="zh-CN"/>
              </w:rPr>
              <w:t>书</w:t>
            </w:r>
          </w:p>
        </w:tc>
        <w:tc>
          <w:tcPr>
            <w:tcW w:w="2452" w:type="dxa"/>
            <w:gridSpan w:val="4"/>
            <w:vMerge w:val="continue"/>
            <w:tcBorders>
              <w:left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交易保证金</w:t>
            </w:r>
            <w:r>
              <w:rPr>
                <w:rFonts w:hint="eastAsia" w:ascii="仿宋" w:hAnsi="仿宋" w:eastAsia="仿宋" w:cs="仿宋"/>
                <w:sz w:val="21"/>
                <w:szCs w:val="21"/>
              </w:rPr>
              <w:t>打款证明（备注项目编号）</w:t>
            </w:r>
          </w:p>
        </w:tc>
        <w:tc>
          <w:tcPr>
            <w:tcW w:w="2452" w:type="dxa"/>
            <w:gridSpan w:val="4"/>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法人/其他组织（如农业企业，农民专业合作社</w:t>
            </w:r>
            <w:r>
              <w:rPr>
                <w:rFonts w:hint="eastAsia" w:ascii="楷体" w:hAnsi="楷体" w:eastAsia="楷体" w:cs="楷体"/>
                <w:bCs/>
                <w:sz w:val="21"/>
                <w:szCs w:val="21"/>
                <w:lang w:val="en-US" w:eastAsia="zh-CN"/>
              </w:rPr>
              <w:t>等</w:t>
            </w:r>
            <w:r>
              <w:rPr>
                <w:rFonts w:hint="eastAsia" w:ascii="楷体" w:hAnsi="楷体" w:eastAsia="楷体" w:cs="楷体"/>
                <w:bCs/>
                <w:sz w:val="21"/>
                <w:szCs w:val="21"/>
              </w:rPr>
              <w:t>）</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□营业执照副本复印件（盖章）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□机构代码证复印件（盖章）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lang w:eastAsia="zh-CN"/>
              </w:rPr>
            </w:pPr>
            <w:r>
              <w:rPr>
                <w:rFonts w:hint="eastAsia" w:ascii="仿宋" w:hAnsi="仿宋" w:eastAsia="仿宋" w:cs="仿宋"/>
                <w:sz w:val="21"/>
                <w:szCs w:val="21"/>
              </w:rPr>
              <w:t>□经营主体征信材料</w:t>
            </w:r>
            <w:r>
              <w:rPr>
                <w:rFonts w:hint="eastAsia" w:ascii="仿宋" w:hAnsi="仿宋" w:eastAsia="仿宋" w:cs="仿宋"/>
                <w:sz w:val="21"/>
                <w:szCs w:val="21"/>
                <w:lang w:eastAsia="zh-CN"/>
              </w:rPr>
              <w:t>（国家企业信用信息公示系统查询）</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□法定代表人或负责人身份证明原件（盖章）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bCs/>
                <w:color w:val="000000"/>
                <w:sz w:val="21"/>
                <w:szCs w:val="21"/>
              </w:rPr>
              <w:t>□</w:t>
            </w:r>
            <w:r>
              <w:rPr>
                <w:rFonts w:hint="eastAsia" w:ascii="仿宋" w:hAnsi="仿宋" w:eastAsia="仿宋" w:cs="仿宋"/>
                <w:color w:val="000000"/>
                <w:sz w:val="21"/>
                <w:szCs w:val="21"/>
              </w:rPr>
              <w:t>法定代表人/负责人身份证复印件（盖章）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□经办人授权委托书原件（盖章）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经办人身份证复印件</w:t>
            </w:r>
            <w:r>
              <w:rPr>
                <w:rFonts w:hint="eastAsia" w:ascii="仿宋" w:hAnsi="仿宋" w:eastAsia="仿宋" w:cs="仿宋"/>
                <w:sz w:val="21"/>
                <w:szCs w:val="21"/>
              </w:rPr>
              <w:t>（盖章）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□合作社章程/公司章程复印件</w:t>
            </w:r>
            <w:r>
              <w:rPr>
                <w:rFonts w:hint="eastAsia" w:ascii="仿宋" w:hAnsi="仿宋" w:eastAsia="仿宋" w:cs="仿宋"/>
                <w:color w:val="000000"/>
                <w:sz w:val="21"/>
                <w:szCs w:val="21"/>
              </w:rPr>
              <w:t>（封面盖章，骑缝盖章）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□合作社成员大会决议/股东会决议/董事会决议复印件</w:t>
            </w:r>
            <w:r>
              <w:rPr>
                <w:rFonts w:hint="eastAsia" w:ascii="仿宋" w:hAnsi="仿宋" w:eastAsia="仿宋" w:cs="仿宋"/>
                <w:color w:val="000000"/>
                <w:sz w:val="21"/>
                <w:szCs w:val="21"/>
              </w:rPr>
              <w:t>（盖章）</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项目网络竞价须知</w:t>
            </w:r>
          </w:p>
        </w:tc>
        <w:tc>
          <w:tcPr>
            <w:tcW w:w="2452" w:type="dxa"/>
            <w:gridSpan w:val="4"/>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成交方式为网络竞价</w:t>
            </w:r>
          </w:p>
          <w:p>
            <w:pPr>
              <w:spacing w:line="360" w:lineRule="auto"/>
              <w:jc w:val="center"/>
              <w:rPr>
                <w:rFonts w:hint="eastAsia" w:ascii="仿宋" w:hAnsi="仿宋" w:eastAsia="仿宋" w:cs="仿宋"/>
                <w:sz w:val="21"/>
                <w:szCs w:val="21"/>
              </w:rPr>
            </w:pPr>
            <w:r>
              <w:rPr>
                <w:rFonts w:hint="eastAsia" w:ascii="黑体" w:hAnsi="黑体" w:eastAsia="黑体" w:cs="黑体"/>
                <w:b w:val="0"/>
                <w:bCs w:val="0"/>
                <w:sz w:val="21"/>
                <w:szCs w:val="21"/>
              </w:rPr>
              <w:t>时须提供</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网络竞价项目承诺</w:t>
            </w:r>
            <w:r>
              <w:rPr>
                <w:rFonts w:hint="eastAsia" w:ascii="仿宋" w:hAnsi="仿宋" w:eastAsia="仿宋" w:cs="仿宋"/>
                <w:bCs/>
                <w:sz w:val="21"/>
                <w:szCs w:val="21"/>
                <w:lang w:val="en-US" w:eastAsia="zh-CN"/>
              </w:rPr>
              <w:t>书</w:t>
            </w:r>
          </w:p>
        </w:tc>
        <w:tc>
          <w:tcPr>
            <w:tcW w:w="2452" w:type="dxa"/>
            <w:gridSpan w:val="4"/>
            <w:vMerge w:val="continue"/>
            <w:tcBorders>
              <w:left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交易保证金</w:t>
            </w:r>
            <w:r>
              <w:rPr>
                <w:rFonts w:hint="eastAsia" w:ascii="仿宋" w:hAnsi="仿宋" w:eastAsia="仿宋" w:cs="仿宋"/>
                <w:sz w:val="21"/>
                <w:szCs w:val="21"/>
              </w:rPr>
              <w:t>打款证明（备注项目编号）</w:t>
            </w:r>
          </w:p>
        </w:tc>
        <w:tc>
          <w:tcPr>
            <w:tcW w:w="2452" w:type="dxa"/>
            <w:gridSpan w:val="4"/>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联合受让时，</w:t>
            </w:r>
          </w:p>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还需提供</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□联合受让协议书原件</w:t>
            </w:r>
          </w:p>
        </w:tc>
      </w:tr>
      <w:tr>
        <w:tblPrEx>
          <w:tblLayout w:type="fixed"/>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□联合受让推举书原件</w:t>
            </w:r>
          </w:p>
        </w:tc>
      </w:tr>
    </w:tbl>
    <w:p/>
    <w:p>
      <w:pPr>
        <w:pStyle w:val="4"/>
        <w:spacing w:line="240" w:lineRule="auto"/>
        <w:rPr>
          <w:rFonts w:hint="eastAsia" w:ascii="方正小标宋简体" w:hAnsi="方正小标宋简体" w:eastAsia="方正小标宋简体" w:cs="方正小标宋简体"/>
          <w:b w:val="0"/>
          <w:bCs/>
          <w:color w:val="000000"/>
          <w:sz w:val="36"/>
          <w:szCs w:val="36"/>
        </w:rPr>
      </w:pPr>
      <w:bookmarkStart w:id="3" w:name="_Toc32320"/>
      <w:bookmarkStart w:id="4" w:name="_Toc15737"/>
      <w:bookmarkStart w:id="5" w:name="_Toc21422"/>
      <w:bookmarkStart w:id="6" w:name="_Toc24454"/>
      <w:bookmarkStart w:id="7" w:name="_Toc21762"/>
      <w:bookmarkStart w:id="8" w:name="_Toc11918"/>
      <w:bookmarkStart w:id="9" w:name="_Toc20910"/>
      <w:bookmarkStart w:id="10" w:name="_Toc29002"/>
      <w:bookmarkStart w:id="11" w:name="_Toc24068"/>
      <w:bookmarkStart w:id="12" w:name="_Toc12789"/>
      <w:bookmarkStart w:id="13" w:name="_Toc20033"/>
      <w:bookmarkStart w:id="14" w:name="_Toc24727"/>
      <w:bookmarkStart w:id="15" w:name="_Toc25712"/>
      <w:bookmarkStart w:id="16" w:name="_Toc8396"/>
      <w:bookmarkStart w:id="17" w:name="_Toc7615"/>
      <w:bookmarkStart w:id="18" w:name="_Toc13462"/>
      <w:r>
        <w:rPr>
          <w:rFonts w:hint="eastAsia" w:ascii="方正小标宋简体" w:hAnsi="方正小标宋简体" w:eastAsia="方正小标宋简体" w:cs="方正小标宋简体"/>
          <w:b w:val="0"/>
          <w:bCs/>
          <w:color w:val="000000"/>
          <w:sz w:val="36"/>
          <w:szCs w:val="36"/>
        </w:rPr>
        <w:t>网络竞价须知</w:t>
      </w:r>
      <w:bookmarkEnd w:id="3"/>
      <w:bookmarkEnd w:id="4"/>
      <w:bookmarkEnd w:id="5"/>
      <w:bookmarkEnd w:id="6"/>
      <w:bookmarkEnd w:id="7"/>
      <w:bookmarkEnd w:id="8"/>
      <w:bookmarkEnd w:id="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color w:val="auto"/>
          <w:sz w:val="28"/>
          <w:szCs w:val="28"/>
          <w:u w:val="none"/>
          <w:lang w:val="en-US" w:eastAsia="zh-CN"/>
        </w:rPr>
        <w:t>一、</w:t>
      </w:r>
      <w:r>
        <w:rPr>
          <w:rFonts w:hint="eastAsia" w:ascii="仿宋" w:hAnsi="仿宋" w:eastAsia="仿宋" w:cs="仿宋"/>
          <w:b w:val="0"/>
          <w:bCs w:val="0"/>
          <w:color w:val="C00000"/>
          <w:sz w:val="28"/>
          <w:szCs w:val="28"/>
          <w:u w:val="single"/>
          <w:lang w:val="en-US" w:eastAsia="zh-CN"/>
        </w:rPr>
        <w:t>（标的名称）</w:t>
      </w:r>
      <w:r>
        <w:rPr>
          <w:rFonts w:hint="eastAsia" w:ascii="仿宋" w:hAnsi="仿宋" w:eastAsia="仿宋" w:cs="仿宋"/>
          <w:b w:val="0"/>
          <w:bCs w:val="0"/>
          <w:sz w:val="28"/>
          <w:szCs w:val="28"/>
        </w:rPr>
        <w:t>项目《网络竞价须知》（以下简称《须知》），依据《</w:t>
      </w:r>
      <w:r>
        <w:rPr>
          <w:rFonts w:hint="eastAsia" w:ascii="仿宋" w:hAnsi="仿宋" w:eastAsia="仿宋" w:cs="仿宋"/>
          <w:b w:val="0"/>
          <w:bCs w:val="0"/>
          <w:sz w:val="28"/>
          <w:szCs w:val="28"/>
          <w:lang w:val="en-US" w:eastAsia="zh-CN"/>
        </w:rPr>
        <w:t>陵水</w:t>
      </w:r>
      <w:r>
        <w:rPr>
          <w:rFonts w:hint="eastAsia" w:ascii="仿宋" w:hAnsi="仿宋" w:eastAsia="仿宋" w:cs="仿宋"/>
          <w:b w:val="0"/>
          <w:bCs w:val="0"/>
          <w:sz w:val="28"/>
          <w:szCs w:val="28"/>
        </w:rPr>
        <w:t>农村产权交易服务平台产权交易规则（试行）》、《农村产权交易服务平台网络竞价实施办法（试行）》及有关法律、法规的规定，制定本交易须知。</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凡参加平台网络竞价的竞买方必须遵守本交易须知、平台有关交易规则以及有关法律法规。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陵水</w:t>
      </w:r>
      <w:r>
        <w:rPr>
          <w:rFonts w:hint="eastAsia" w:ascii="仿宋" w:hAnsi="仿宋" w:eastAsia="仿宋" w:cs="仿宋"/>
          <w:b w:val="0"/>
          <w:bCs w:val="0"/>
          <w:sz w:val="28"/>
          <w:szCs w:val="28"/>
        </w:rPr>
        <w:t>农村产权交易服务平台（http://</w:t>
      </w:r>
      <w:r>
        <w:rPr>
          <w:rFonts w:hint="eastAsia" w:ascii="仿宋" w:hAnsi="仿宋" w:eastAsia="仿宋" w:cs="仿宋"/>
          <w:b w:val="0"/>
          <w:bCs w:val="0"/>
          <w:sz w:val="28"/>
          <w:szCs w:val="28"/>
          <w:lang w:val="en-US" w:eastAsia="zh-CN"/>
        </w:rPr>
        <w:t>lingshuilizu</w:t>
      </w:r>
      <w:r>
        <w:rPr>
          <w:rFonts w:hint="eastAsia" w:ascii="仿宋" w:hAnsi="仿宋" w:eastAsia="仿宋" w:cs="仿宋"/>
          <w:b w:val="0"/>
          <w:bCs w:val="0"/>
          <w:sz w:val="28"/>
          <w:szCs w:val="28"/>
        </w:rPr>
        <w:t>.nongjiao.com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，以下简称“平台”）为指定的交易平台，竞买方应通过平台参与标的竞拍活动。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可通过平台图片、文字描述、附件材料或按照交易公告指定的时间进行现场踏勘了解标的，对标的现状有异议的，应在提交竞买报名前提出书面意见。对竞价成功后的《标的竞得书》及合同的签署均无异议。</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竞买申请方一旦提交竞买报名，即视为其已完全了解标的物的相关情况、认可标的交易公告及附件的全部内容、对标的现状无异议、同意遵守平台有关交易规则和交易须知。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color w:val="auto"/>
          <w:sz w:val="28"/>
          <w:szCs w:val="28"/>
          <w:lang w:val="en-US" w:eastAsia="zh-CN"/>
        </w:rPr>
        <w:t>二、</w:t>
      </w:r>
      <w:r>
        <w:rPr>
          <w:rFonts w:hint="eastAsia" w:ascii="仿宋" w:hAnsi="仿宋" w:eastAsia="仿宋" w:cs="仿宋"/>
          <w:b w:val="0"/>
          <w:bCs w:val="0"/>
          <w:color w:val="C00000"/>
          <w:sz w:val="28"/>
          <w:szCs w:val="28"/>
        </w:rPr>
        <w:t>竞买申请方应当于</w:t>
      </w:r>
      <w:r>
        <w:rPr>
          <w:rFonts w:hint="eastAsia" w:ascii="仿宋" w:hAnsi="仿宋" w:eastAsia="仿宋" w:cs="仿宋"/>
          <w:b w:val="0"/>
          <w:bCs w:val="0"/>
          <w:color w:val="C00000"/>
          <w:sz w:val="28"/>
          <w:szCs w:val="28"/>
          <w:u w:val="single"/>
        </w:rPr>
        <w:t>202</w:t>
      </w:r>
      <w:r>
        <w:rPr>
          <w:rFonts w:hint="eastAsia" w:ascii="仿宋" w:hAnsi="仿宋" w:eastAsia="仿宋" w:cs="仿宋"/>
          <w:b w:val="0"/>
          <w:bCs w:val="0"/>
          <w:color w:val="C00000"/>
          <w:sz w:val="28"/>
          <w:szCs w:val="28"/>
          <w:u w:val="single"/>
          <w:lang w:val="en-US" w:eastAsia="zh-CN"/>
        </w:rPr>
        <w:t>5</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xx</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 xml:space="preserve">xx </w:t>
      </w:r>
      <w:r>
        <w:rPr>
          <w:rFonts w:hint="eastAsia" w:ascii="仿宋" w:hAnsi="仿宋" w:eastAsia="仿宋" w:cs="仿宋"/>
          <w:b w:val="0"/>
          <w:bCs w:val="0"/>
          <w:color w:val="C00000"/>
          <w:sz w:val="28"/>
          <w:szCs w:val="28"/>
          <w:u w:val="single"/>
        </w:rPr>
        <w:t>10:00</w:t>
      </w:r>
      <w:r>
        <w:rPr>
          <w:rFonts w:hint="eastAsia" w:ascii="仿宋" w:hAnsi="仿宋" w:eastAsia="仿宋" w:cs="仿宋"/>
          <w:b w:val="0"/>
          <w:bCs w:val="0"/>
          <w:color w:val="C00000"/>
          <w:sz w:val="28"/>
          <w:szCs w:val="28"/>
        </w:rPr>
        <w:t>前签署并向平台提交本次网络竞价《网络竞价须知》《网络竞价承诺函》等竞价文件后，</w:t>
      </w:r>
      <w:r>
        <w:rPr>
          <w:rFonts w:hint="eastAsia" w:ascii="仿宋" w:hAnsi="仿宋" w:eastAsia="仿宋" w:cs="仿宋"/>
          <w:b w:val="0"/>
          <w:bCs w:val="0"/>
          <w:sz w:val="28"/>
          <w:szCs w:val="28"/>
        </w:rPr>
        <w:t>平台审核通过后，交纳交易保证金（交易保证金金额一般为意向标的物起拍价20%），</w:t>
      </w:r>
      <w:r>
        <w:rPr>
          <w:rFonts w:hint="eastAsia" w:ascii="仿宋" w:hAnsi="仿宋" w:eastAsia="仿宋" w:cs="仿宋"/>
          <w:b w:val="0"/>
          <w:bCs w:val="0"/>
          <w:color w:val="C00000"/>
          <w:sz w:val="28"/>
          <w:szCs w:val="28"/>
        </w:rPr>
        <w:t>竞买申请方必须用本人的银行账户（单位用户须用本单位公户）通过网银、手机银行、柜台转账等方式</w:t>
      </w:r>
      <w:r>
        <w:rPr>
          <w:rFonts w:hint="eastAsia" w:ascii="仿宋" w:hAnsi="仿宋" w:eastAsia="仿宋" w:cs="仿宋"/>
          <w:b w:val="0"/>
          <w:bCs w:val="0"/>
          <w:color w:val="C00000"/>
          <w:sz w:val="28"/>
          <w:szCs w:val="28"/>
          <w:lang w:val="en-US" w:eastAsia="zh-CN"/>
        </w:rPr>
        <w:t>将</w:t>
      </w:r>
      <w:r>
        <w:rPr>
          <w:rFonts w:hint="eastAsia" w:ascii="仿宋" w:hAnsi="仿宋" w:eastAsia="仿宋" w:cs="仿宋"/>
          <w:b w:val="0"/>
          <w:bCs w:val="0"/>
          <w:color w:val="C00000"/>
          <w:sz w:val="28"/>
          <w:szCs w:val="28"/>
        </w:rPr>
        <w:t>交易保证金款项存入平台交易保证金结算账户，方取得竞拍资格。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交易保证金收款账户：</w:t>
      </w:r>
    </w:p>
    <w:tbl>
      <w:tblPr>
        <w:tblStyle w:val="9"/>
        <w:tblW w:w="8189" w:type="dxa"/>
        <w:jc w:val="center"/>
        <w:tblInd w:w="0" w:type="dxa"/>
        <w:tblLayout w:type="fixed"/>
        <w:tblCellMar>
          <w:top w:w="0" w:type="dxa"/>
          <w:left w:w="108" w:type="dxa"/>
          <w:bottom w:w="0" w:type="dxa"/>
          <w:right w:w="108" w:type="dxa"/>
        </w:tblCellMar>
      </w:tblPr>
      <w:tblGrid>
        <w:gridCol w:w="1932"/>
        <w:gridCol w:w="6257"/>
      </w:tblGrid>
      <w:tr>
        <w:tblPrEx>
          <w:tblLayout w:type="fixed"/>
          <w:tblCellMar>
            <w:top w:w="0" w:type="dxa"/>
            <w:left w:w="108" w:type="dxa"/>
            <w:bottom w:w="0" w:type="dxa"/>
            <w:right w:w="108" w:type="dxa"/>
          </w:tblCellMar>
        </w:tblPrEx>
        <w:trPr>
          <w:trHeight w:val="600"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单位名称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陵水黎族自治县农村产权交易中心</w:t>
            </w:r>
            <w:r>
              <w:rPr>
                <w:rFonts w:hint="eastAsia" w:ascii="黑体" w:hAnsi="黑体" w:eastAsia="黑体" w:cs="黑体"/>
                <w:b w:val="0"/>
                <w:bCs w:val="0"/>
                <w:sz w:val="28"/>
                <w:szCs w:val="28"/>
              </w:rPr>
              <w:t>有限公司</w:t>
            </w:r>
          </w:p>
        </w:tc>
      </w:tr>
      <w:tr>
        <w:tblPrEx>
          <w:tblLayout w:type="fixed"/>
          <w:tblCellMar>
            <w:top w:w="0" w:type="dxa"/>
            <w:left w:w="108" w:type="dxa"/>
            <w:bottom w:w="0" w:type="dxa"/>
            <w:right w:w="108" w:type="dxa"/>
          </w:tblCellMar>
        </w:tblPrEx>
        <w:trPr>
          <w:trHeight w:val="578"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开户行</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海南农村商业银行股份有限公司椰林支行</w:t>
            </w:r>
          </w:p>
        </w:tc>
      </w:tr>
      <w:tr>
        <w:tblPrEx>
          <w:tblLayout w:type="fixed"/>
          <w:tblCellMar>
            <w:top w:w="0" w:type="dxa"/>
            <w:left w:w="108" w:type="dxa"/>
            <w:bottom w:w="0" w:type="dxa"/>
            <w:right w:w="108" w:type="dxa"/>
          </w:tblCellMar>
        </w:tblPrEx>
        <w:trPr>
          <w:trHeight w:val="586"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账号</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1020255700000358</w:t>
            </w:r>
          </w:p>
        </w:tc>
      </w:tr>
    </w:tbl>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sz w:val="28"/>
          <w:szCs w:val="28"/>
          <w:lang w:val="en-US" w:eastAsia="zh-CN"/>
        </w:rPr>
        <w:t>三、</w:t>
      </w:r>
      <w:r>
        <w:rPr>
          <w:rFonts w:hint="eastAsia" w:ascii="仿宋" w:hAnsi="仿宋" w:eastAsia="仿宋" w:cs="仿宋"/>
          <w:b w:val="0"/>
          <w:bCs w:val="0"/>
          <w:sz w:val="28"/>
          <w:szCs w:val="28"/>
        </w:rPr>
        <w:t>竞买方办理竞拍登记手续和交易保证金交纳，经资格确认后，竞买方应于网络竞价活动开始前，登录平台网站http://</w:t>
      </w:r>
      <w:r>
        <w:rPr>
          <w:rFonts w:hint="eastAsia" w:ascii="仿宋" w:hAnsi="仿宋" w:eastAsia="仿宋" w:cs="仿宋"/>
          <w:b w:val="0"/>
          <w:bCs w:val="0"/>
          <w:sz w:val="28"/>
          <w:szCs w:val="28"/>
          <w:lang w:val="en-US" w:eastAsia="zh-CN"/>
        </w:rPr>
        <w:t>lingshuilizu</w:t>
      </w:r>
      <w:r>
        <w:rPr>
          <w:rFonts w:hint="eastAsia" w:ascii="仿宋" w:hAnsi="仿宋" w:eastAsia="仿宋" w:cs="仿宋"/>
          <w:b w:val="0"/>
          <w:bCs w:val="0"/>
          <w:sz w:val="28"/>
          <w:szCs w:val="28"/>
        </w:rPr>
        <w:t>.nongjiao.com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，即可操作。</w:t>
      </w:r>
    </w:p>
    <w:p>
      <w:pPr>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本次网络竞价标的起拍价为人民币</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en-US" w:eastAsia="zh-CN"/>
        </w:rPr>
        <w:t>元/年。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本次网络竞价采用竞价方式（</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阶梯竞价、</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自由竞价）</w:t>
      </w:r>
      <w:r>
        <w:rPr>
          <w:rFonts w:hint="eastAsia" w:ascii="仿宋" w:hAnsi="仿宋" w:eastAsia="仿宋" w:cs="仿宋"/>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竞买方接受出租（转让）方确定的交易条件，通过平台的网络竞价系统进行动态递增（减）报价，将报价最高者确定为承租（受让）方的竞价方式（反向竞价以报价最低者确定为承租（受让）方）。</w:t>
      </w:r>
    </w:p>
    <w:p>
      <w:pPr>
        <w:pStyle w:val="2"/>
        <w:pageBreakBefore w:val="0"/>
        <w:widowControl w:val="0"/>
        <w:kinsoku/>
        <w:wordWrap/>
        <w:overflowPunct/>
        <w:topLinePunct w:val="0"/>
        <w:autoSpaceDE/>
        <w:autoSpaceDN/>
        <w:bidi w:val="0"/>
        <w:adjustRightInd/>
        <w:snapToGrid/>
        <w:spacing w:before="0" w:after="0" w:line="48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本次竞价加（减）价阶梯为人民币：</w:t>
      </w:r>
      <w:r>
        <w:rPr>
          <w:rFonts w:hint="eastAsia" w:ascii="仿宋" w:hAnsi="仿宋" w:eastAsia="仿宋" w:cs="仿宋"/>
          <w:b w:val="0"/>
          <w:bCs w:val="0"/>
          <w:sz w:val="28"/>
          <w:szCs w:val="28"/>
          <w:u w:val="single"/>
        </w:rPr>
        <w:t>100</w:t>
      </w:r>
      <w:r>
        <w:rPr>
          <w:rFonts w:hint="eastAsia" w:ascii="仿宋" w:hAnsi="仿宋" w:eastAsia="仿宋" w:cs="仿宋"/>
          <w:b w:val="0"/>
          <w:bCs w:val="0"/>
          <w:sz w:val="28"/>
          <w:szCs w:val="28"/>
          <w:u w:val="single"/>
          <w:lang w:val="en-US" w:eastAsia="zh-CN"/>
        </w:rPr>
        <w:t>0</w:t>
      </w:r>
      <w:r>
        <w:rPr>
          <w:rFonts w:hint="eastAsia" w:ascii="仿宋" w:hAnsi="仿宋" w:eastAsia="仿宋" w:cs="仿宋"/>
          <w:b w:val="0"/>
          <w:bCs w:val="0"/>
          <w:sz w:val="28"/>
          <w:szCs w:val="28"/>
        </w:rPr>
        <w:t>元的整数倍（至少100</w:t>
      </w:r>
      <w:r>
        <w:rPr>
          <w:rFonts w:hint="eastAsia" w:ascii="仿宋" w:hAnsi="仿宋" w:eastAsia="仿宋" w:cs="仿宋"/>
          <w:b w:val="0"/>
          <w:bCs w:val="0"/>
          <w:sz w:val="28"/>
          <w:szCs w:val="28"/>
          <w:lang w:val="en-US" w:eastAsia="zh-CN"/>
        </w:rPr>
        <w:t>0</w:t>
      </w:r>
      <w:r>
        <w:rPr>
          <w:rFonts w:hint="eastAsia" w:ascii="仿宋" w:hAnsi="仿宋" w:eastAsia="仿宋" w:cs="仿宋"/>
          <w:b w:val="0"/>
          <w:bCs w:val="0"/>
          <w:sz w:val="28"/>
          <w:szCs w:val="28"/>
        </w:rPr>
        <w:t>元）。</w:t>
      </w:r>
      <w:bookmarkStart w:id="19" w:name="_GoBack"/>
      <w:bookmarkEnd w:id="19"/>
    </w:p>
    <w:p>
      <w:pPr>
        <w:pStyle w:val="2"/>
        <w:pageBreakBefore w:val="0"/>
        <w:widowControl w:val="0"/>
        <w:kinsoku/>
        <w:wordWrap/>
        <w:overflowPunct/>
        <w:topLinePunct w:val="0"/>
        <w:autoSpaceDE/>
        <w:autoSpaceDN/>
        <w:bidi w:val="0"/>
        <w:adjustRightInd/>
        <w:snapToGrid/>
        <w:spacing w:before="0" w:after="0" w:line="48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本次网络竞价有自由报价期和延时报价期，两个竞价期组成。</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竞价</w:t>
      </w:r>
      <w:r>
        <w:rPr>
          <w:rFonts w:hint="eastAsia" w:ascii="仿宋" w:hAnsi="仿宋" w:eastAsia="仿宋" w:cs="仿宋"/>
          <w:b w:val="0"/>
          <w:bCs w:val="0"/>
          <w:sz w:val="28"/>
          <w:szCs w:val="28"/>
          <w:lang w:val="en-US" w:eastAsia="zh-CN"/>
        </w:rPr>
        <w:t>时间</w:t>
      </w:r>
      <w:r>
        <w:rPr>
          <w:rFonts w:hint="eastAsia" w:ascii="仿宋" w:hAnsi="仿宋" w:eastAsia="仿宋" w:cs="仿宋"/>
          <w:b w:val="0"/>
          <w:bCs w:val="0"/>
          <w:sz w:val="28"/>
          <w:szCs w:val="28"/>
        </w:rPr>
        <w:t>从</w:t>
      </w:r>
      <w:r>
        <w:rPr>
          <w:rFonts w:hint="eastAsia" w:ascii="仿宋" w:hAnsi="仿宋" w:eastAsia="仿宋" w:cs="仿宋"/>
          <w:b w:val="0"/>
          <w:bCs w:val="0"/>
          <w:color w:val="C00000"/>
          <w:sz w:val="28"/>
          <w:szCs w:val="28"/>
          <w:u w:val="single"/>
        </w:rPr>
        <w:t>202</w:t>
      </w:r>
      <w:r>
        <w:rPr>
          <w:rFonts w:hint="eastAsia" w:ascii="仿宋" w:hAnsi="仿宋" w:eastAsia="仿宋" w:cs="仿宋"/>
          <w:b w:val="0"/>
          <w:bCs w:val="0"/>
          <w:color w:val="C00000"/>
          <w:sz w:val="28"/>
          <w:szCs w:val="28"/>
          <w:u w:val="single"/>
          <w:lang w:val="en-US" w:eastAsia="zh-CN"/>
        </w:rPr>
        <w:t>5</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 xml:space="preserve">xx-xx </w:t>
      </w:r>
      <w:r>
        <w:rPr>
          <w:rFonts w:hint="eastAsia" w:ascii="仿宋" w:hAnsi="仿宋" w:eastAsia="仿宋" w:cs="仿宋"/>
          <w:b w:val="0"/>
          <w:bCs w:val="0"/>
          <w:color w:val="C00000"/>
          <w:sz w:val="28"/>
          <w:szCs w:val="28"/>
          <w:u w:val="single"/>
        </w:rPr>
        <w:t>10:00</w:t>
      </w:r>
      <w:r>
        <w:rPr>
          <w:rFonts w:hint="eastAsia" w:ascii="仿宋" w:hAnsi="仿宋" w:eastAsia="仿宋" w:cs="仿宋"/>
          <w:b w:val="0"/>
          <w:bCs w:val="0"/>
          <w:sz w:val="28"/>
          <w:szCs w:val="28"/>
        </w:rPr>
        <w:t>准点开始（以竞价系统显示时间为准），竞价</w:t>
      </w:r>
      <w:r>
        <w:rPr>
          <w:rFonts w:hint="eastAsia" w:ascii="仿宋" w:hAnsi="仿宋" w:eastAsia="仿宋" w:cs="仿宋"/>
          <w:b w:val="0"/>
          <w:bCs w:val="0"/>
          <w:sz w:val="28"/>
          <w:szCs w:val="28"/>
          <w:lang w:val="en-US" w:eastAsia="zh-CN"/>
        </w:rPr>
        <w:t>时间</w:t>
      </w:r>
      <w:r>
        <w:rPr>
          <w:rFonts w:hint="eastAsia" w:ascii="仿宋" w:hAnsi="仿宋" w:eastAsia="仿宋" w:cs="仿宋"/>
          <w:b w:val="0"/>
          <w:bCs w:val="0"/>
          <w:sz w:val="28"/>
          <w:szCs w:val="28"/>
        </w:rPr>
        <w:t>结束后即进入延时报价期，竞价期可由多个延时竞价周期组成，每个延时竞价周期为</w:t>
      </w:r>
      <w:r>
        <w:rPr>
          <w:rFonts w:hint="eastAsia" w:ascii="仿宋" w:hAnsi="仿宋" w:eastAsia="仿宋" w:cs="仿宋"/>
          <w:b w:val="0"/>
          <w:bCs w:val="0"/>
          <w:sz w:val="28"/>
          <w:szCs w:val="28"/>
          <w:u w:val="single"/>
        </w:rPr>
        <w:t>5</w:t>
      </w:r>
      <w:r>
        <w:rPr>
          <w:rFonts w:hint="eastAsia" w:ascii="仿宋" w:hAnsi="仿宋" w:eastAsia="仿宋" w:cs="仿宋"/>
          <w:b w:val="0"/>
          <w:bCs w:val="0"/>
          <w:sz w:val="28"/>
          <w:szCs w:val="28"/>
        </w:rPr>
        <w:t>分钟。</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在一个延时竞价周期内如未出现新的有效报价，则当前有效报价方成为该次网络竞价活动的最高（低）报价方。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竞买方须谨慎在网络报价，网络报价一经提交并经平台记录即视为有效报价，竞买方不可变更或撤销。</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9</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竞买方应尽量避免在竞拍倒计时截止前的最后1分钟内进行竞买报价，以防止因网络延迟造成系统无法接受报价导致报价无效。</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竞拍最高（低）报价的结果以系统记录数据为准。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因竞买方如下行为产生的一切后果，平台不承担任何责任：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（1）未及时关注平台发布的竞价活动相关信息的；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（2）所填写的信息不真实、不准确或不完整而造成注册账户无法使用或交易保证金无法退还的；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（3）所提交的信息不真实、不完善、不准确而导致自身未通过资格条件审核的；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（4）交易保证金交纳不及时的；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（5）由于竞买方自身的终端设备和网络异常等原因导致无法正常报价的；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（6）网络竞价活动的时间以网络竞价系统服务器时间为准，由于竞买方自身终端设备时间与网络竞价服务器时间不符而导致的未按时参与报价的；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（1）网络交易系统被黑客侵入、破坏导致无法正常运行；</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（2）电信部门技术调整、电信线路或网络故障导致信息无法传递；</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（3）电力故障；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（4）系统升级、系统设备故障；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（5）平台服务器、平台运营单位办公区域出现不可抗力因素导致无法正常实施网络交易活动；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（6）因操作失误导致起拍价、加（减）价幅度、竞价期结束时间周期等设置错误的；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（7）经平台运营单位或委托人核实的其他原因；</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（8）平台认为需要中止网络竞价活动的其他情形。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采取中止竞价活动的，平台将按照出租（转让）方要求的时间和方式继续竞价或重新竞价，平台通知各竞买方。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因不可抗力、软硬件故障、非法入侵、恶意攻击等原因导致平台网站服务异常、竞价活动异常的，平台可以根据相关约定重新组织实施竞价或再次发布转让信息公告。</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在竞拍开始前和竞拍期间，标的物出现下列情形的，平台运营单位应当终止平台交易活动，待问题解决后依程序重新实施竞拍活动：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（1）人民法院、检察院或其他有权机关向委托人及其上级主管部门书面通知冻结、查封标的土地的；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（2）有证据表明标的物存在权属争议的；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（3）竞买方之间发生恶意串通、违规交易行为，经查证属实的；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（4）因国家政策调整导致标的物原先确定的土地使用条件发生重大变化或无法实施的；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（5）平台或委托方核实的其他情形。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19</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中止（冻结）竞拍活动，平台运营单位应当在平台发布相关信息。竞买方可以通过邮件、电话联系等方式或者直接向运营单位咨询，以获得标的中止（冻结）交易和解除冻结的相关信息。</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竞买方有下列违约行为之一的，其所交纳的交易保证金将作为违约金扣除，平台有权中止、取消其竞得资格，并将其列入平台黑名单；造成平台及相关方损失的，由竞买方依法承担赔偿损失等法律责任。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（1）竞买方不按平台注册登记的要求提供有关文件材料、提供虚假文件或隐瞒事实的；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（2）因竞买方原因未在规定的时间内与出租（转让）方签订交易合同的；竞买方无故不推进交易或无故放弃受让的；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（3）因竞买方原因未按照规定支付交易价款和交易服务费的；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（4）竞买方违反公平竞争原则，实施串通竞价、恶意抬价、排挤其他竞买方，或者其他扰乱竞价交易活动秩序等侵害出租（转让）方合法权益，违反法律、法规、规章规定的；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（5）竞买方违反法律法规或相关规定给出租（转让）方、平台造成损失的；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（6）信息公告中约定的交易保证金不予退还的其他情形；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（7）同一自然人、法人或其他组织同时以竞买方和出租（转让）方的身份参与竞价交易活动的。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应价时间截止，所有竞买方均未报价导致本次网络竞价终结的，视为违约，所有竞买方交纳的交易保证金将不予退还。</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成交结果以平台出具的《标的竞得书》为准。平台在竞价结束的2个工作日内向竞得方出具《标的竞得书》。（注：对于农垦资产出租（转让）只有一个竞买方参与竞拍的，</w:t>
      </w:r>
      <w:r>
        <w:rPr>
          <w:rFonts w:hint="eastAsia" w:ascii="仿宋" w:hAnsi="仿宋" w:eastAsia="仿宋" w:cs="仿宋"/>
          <w:b w:val="0"/>
          <w:bCs w:val="0"/>
          <w:sz w:val="28"/>
          <w:szCs w:val="28"/>
          <w:lang w:val="en-US" w:eastAsia="zh-CN"/>
        </w:rPr>
        <w:t>竞拍结果</w:t>
      </w:r>
      <w:r>
        <w:rPr>
          <w:rFonts w:hint="eastAsia" w:ascii="仿宋" w:hAnsi="仿宋" w:eastAsia="仿宋" w:cs="仿宋"/>
          <w:b w:val="0"/>
          <w:bCs w:val="0"/>
          <w:sz w:val="28"/>
          <w:szCs w:val="28"/>
        </w:rPr>
        <w:t>需先由委托单位根据有关规定报海垦集团批准后，平台才能出具《标的竞得书》</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海垦集团有权否决只有一个竞买方的竞拍结果，竞买方对此应当知悉并同意</w:t>
      </w:r>
      <w:r>
        <w:rPr>
          <w:rFonts w:hint="eastAsia" w:ascii="仿宋" w:hAnsi="仿宋" w:eastAsia="仿宋" w:cs="仿宋"/>
          <w:b w:val="0"/>
          <w:bCs w:val="0"/>
          <w:sz w:val="28"/>
          <w:szCs w:val="28"/>
        </w:rPr>
        <w:t>），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color w:val="C00000"/>
          <w:sz w:val="28"/>
          <w:szCs w:val="28"/>
        </w:rPr>
        <w:t>23</w:t>
      </w:r>
      <w:r>
        <w:rPr>
          <w:rFonts w:hint="eastAsia" w:ascii="仿宋" w:hAnsi="仿宋" w:eastAsia="仿宋" w:cs="仿宋"/>
          <w:b/>
          <w:bCs/>
          <w:color w:val="C00000"/>
          <w:sz w:val="28"/>
          <w:szCs w:val="28"/>
          <w:lang w:eastAsia="zh-CN"/>
        </w:rPr>
        <w:t>.</w:t>
      </w:r>
      <w:r>
        <w:rPr>
          <w:rFonts w:hint="eastAsia" w:ascii="仿宋" w:hAnsi="仿宋" w:eastAsia="仿宋" w:cs="仿宋"/>
          <w:b/>
          <w:bCs/>
          <w:color w:val="C00000"/>
          <w:sz w:val="28"/>
          <w:szCs w:val="28"/>
        </w:rPr>
        <w:t>服务费收费标准：</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color w:val="333333"/>
          <w:sz w:val="28"/>
          <w:szCs w:val="28"/>
        </w:rPr>
      </w:pPr>
      <w:r>
        <w:rPr>
          <w:rFonts w:hint="eastAsia" w:ascii="仿宋" w:hAnsi="仿宋" w:eastAsia="仿宋" w:cs="仿宋"/>
          <w:b/>
          <w:bCs/>
          <w:color w:val="C00000"/>
          <w:sz w:val="28"/>
          <w:szCs w:val="28"/>
        </w:rPr>
        <w:t>（1）</w:t>
      </w:r>
      <w:r>
        <w:rPr>
          <w:rFonts w:hint="eastAsia" w:ascii="仿宋" w:hAnsi="仿宋" w:eastAsia="仿宋" w:cs="仿宋"/>
          <w:b/>
          <w:bCs/>
          <w:color w:val="C00000"/>
          <w:sz w:val="28"/>
          <w:szCs w:val="28"/>
          <w:shd w:val="clear" w:color="auto" w:fill="FFFFFF"/>
        </w:rPr>
        <w:t>一人出价竞得交易服务费</w:t>
      </w:r>
      <w:r>
        <w:rPr>
          <w:rFonts w:hint="eastAsia" w:ascii="仿宋" w:hAnsi="仿宋" w:eastAsia="仿宋" w:cs="仿宋"/>
          <w:color w:val="333333"/>
          <w:sz w:val="28"/>
          <w:szCs w:val="28"/>
          <w:shd w:val="clear" w:color="auto" w:fill="FFFFFF"/>
        </w:rPr>
        <w:t>的收费标准采用差额递减累进方式计算，以成交金额（合同总价格）为基数，双向收取，标准如下： </w:t>
      </w:r>
    </w:p>
    <w:tbl>
      <w:tblPr>
        <w:tblStyle w:val="9"/>
        <w:tblW w:w="8220" w:type="dxa"/>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59"/>
        <w:gridCol w:w="3861"/>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成交金额（人民币万元）</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100（含）以下</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黑体" w:hAnsi="黑体" w:eastAsia="黑体" w:cs="黑体"/>
                <w:color w:val="333333"/>
                <w:sz w:val="28"/>
                <w:szCs w:val="28"/>
                <w:lang w:val="en-US" w:eastAsia="zh-CN"/>
              </w:rPr>
            </w:pPr>
            <w:r>
              <w:rPr>
                <w:rFonts w:hint="eastAsia" w:ascii="黑体" w:hAnsi="黑体" w:eastAsia="黑体" w:cs="黑体"/>
                <w:color w:val="333333"/>
                <w:sz w:val="28"/>
                <w:szCs w:val="28"/>
              </w:rPr>
              <w:t>1</w:t>
            </w:r>
            <w:r>
              <w:rPr>
                <w:rFonts w:hint="eastAsia" w:ascii="黑体" w:hAnsi="黑体" w:eastAsia="黑体" w:cs="黑体"/>
                <w:color w:val="333333"/>
                <w:sz w:val="28"/>
                <w:szCs w:val="28"/>
                <w:lang w:val="en-US" w:eastAsia="zh-CN"/>
              </w:rPr>
              <w:t>.0</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100-500（含）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500-1000（含）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1000-5000（含）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5000以上</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0.3</w:t>
            </w:r>
          </w:p>
        </w:tc>
      </w:tr>
    </w:tbl>
    <w:p>
      <w:pPr>
        <w:pStyle w:val="8"/>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420"/>
        <w:textAlignment w:val="auto"/>
        <w:rPr>
          <w:rFonts w:hint="eastAsia" w:ascii="仿宋" w:hAnsi="仿宋" w:eastAsia="仿宋" w:cs="仿宋"/>
          <w:color w:val="333333"/>
          <w:kern w:val="2"/>
          <w:sz w:val="28"/>
          <w:szCs w:val="28"/>
          <w:shd w:val="clear" w:color="auto" w:fill="FFFFFF"/>
        </w:rPr>
      </w:pPr>
      <w:r>
        <w:rPr>
          <w:rFonts w:hint="eastAsia" w:ascii="仿宋" w:hAnsi="仿宋" w:eastAsia="仿宋" w:cs="仿宋"/>
          <w:color w:val="C00000"/>
          <w:kern w:val="2"/>
          <w:sz w:val="28"/>
          <w:szCs w:val="28"/>
          <w:shd w:val="clear" w:color="auto" w:fill="FFFFFF"/>
        </w:rPr>
        <w:t>（2）</w:t>
      </w:r>
      <w:r>
        <w:rPr>
          <w:rFonts w:hint="eastAsia" w:ascii="仿宋" w:hAnsi="仿宋" w:eastAsia="仿宋" w:cs="仿宋"/>
          <w:b/>
          <w:bCs/>
          <w:color w:val="C00000"/>
          <w:kern w:val="2"/>
          <w:sz w:val="28"/>
          <w:szCs w:val="28"/>
          <w:shd w:val="clear" w:color="auto" w:fill="FFFFFF"/>
        </w:rPr>
        <w:t>二人以上出价竞价服务费</w:t>
      </w:r>
      <w:r>
        <w:rPr>
          <w:rFonts w:hint="eastAsia" w:ascii="仿宋" w:hAnsi="仿宋" w:eastAsia="仿宋" w:cs="仿宋"/>
          <w:color w:val="333333"/>
          <w:kern w:val="2"/>
          <w:sz w:val="28"/>
          <w:szCs w:val="28"/>
          <w:shd w:val="clear" w:color="auto" w:fill="FFFFFF"/>
        </w:rPr>
        <w:t>的收费标准采用差额递减累进方式计算，以成交总金额（合同总价格）为基数，双向收取，标准如下：</w:t>
      </w:r>
    </w:p>
    <w:tbl>
      <w:tblPr>
        <w:tblStyle w:val="9"/>
        <w:tblW w:w="8215" w:type="dxa"/>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59"/>
        <w:gridCol w:w="3856"/>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成交金额（人民币万元）</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100（含）以下</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100-500（含）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黑体" w:hAnsi="黑体" w:eastAsia="黑体" w:cs="黑体"/>
                <w:color w:val="333333"/>
                <w:sz w:val="28"/>
                <w:szCs w:val="28"/>
                <w:lang w:val="en-US" w:eastAsia="zh-CN"/>
              </w:rPr>
            </w:pPr>
            <w:r>
              <w:rPr>
                <w:rFonts w:hint="eastAsia" w:ascii="黑体" w:hAnsi="黑体" w:eastAsia="黑体" w:cs="黑体"/>
                <w:color w:val="333333"/>
                <w:sz w:val="28"/>
                <w:szCs w:val="28"/>
              </w:rPr>
              <w:t>1</w:t>
            </w:r>
            <w:r>
              <w:rPr>
                <w:rFonts w:hint="eastAsia" w:ascii="黑体" w:hAnsi="黑体" w:eastAsia="黑体" w:cs="黑体"/>
                <w:color w:val="333333"/>
                <w:sz w:val="28"/>
                <w:szCs w:val="28"/>
                <w:lang w:val="en-US" w:eastAsia="zh-CN"/>
              </w:rPr>
              <w:t>.0</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19" w:hRule="atLeast"/>
        </w:trPr>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500-1000（含）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1000-5000（含）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5000以上</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0.4</w:t>
            </w:r>
          </w:p>
        </w:tc>
      </w:tr>
    </w:tbl>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color w:val="C00000"/>
          <w:sz w:val="28"/>
          <w:szCs w:val="28"/>
          <w:shd w:val="clear" w:color="auto" w:fill="FFFFFF"/>
        </w:rPr>
      </w:pPr>
      <w:r>
        <w:rPr>
          <w:rFonts w:hint="eastAsia" w:ascii="仿宋" w:hAnsi="仿宋" w:eastAsia="仿宋" w:cs="仿宋"/>
          <w:b/>
          <w:bCs/>
          <w:color w:val="C00000"/>
          <w:sz w:val="28"/>
          <w:szCs w:val="28"/>
          <w:shd w:val="clear" w:color="auto" w:fill="FFFFFF"/>
        </w:rPr>
        <w:t>交易服务费收款账户：</w:t>
      </w:r>
    </w:p>
    <w:tbl>
      <w:tblPr>
        <w:tblStyle w:val="9"/>
        <w:tblW w:w="8048" w:type="dxa"/>
        <w:jc w:val="center"/>
        <w:tblInd w:w="0" w:type="dxa"/>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46"/>
        <w:gridCol w:w="6202"/>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4"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单位名称</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陵水黎族自治县农村产权交易中心</w:t>
            </w:r>
            <w:r>
              <w:rPr>
                <w:rFonts w:hint="eastAsia" w:ascii="黑体" w:hAnsi="黑体" w:eastAsia="黑体" w:cs="黑体"/>
                <w:b w:val="0"/>
                <w:bCs w:val="0"/>
                <w:sz w:val="28"/>
                <w:szCs w:val="28"/>
              </w:rPr>
              <w:t>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9"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开户行</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海南农村商业银行股份有限公司陵水支行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账号</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1020255700000169</w:t>
            </w:r>
          </w:p>
        </w:tc>
      </w:tr>
    </w:tbl>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未成交的竞买方交易保证金，平台将按《</w:t>
      </w:r>
      <w:r>
        <w:rPr>
          <w:rFonts w:hint="eastAsia" w:ascii="仿宋" w:hAnsi="仿宋" w:eastAsia="仿宋" w:cs="仿宋"/>
          <w:b w:val="0"/>
          <w:bCs w:val="0"/>
          <w:sz w:val="28"/>
          <w:szCs w:val="28"/>
          <w:lang w:val="en-US" w:eastAsia="zh-CN"/>
        </w:rPr>
        <w:t>陵水农村产权交易中心</w:t>
      </w:r>
      <w:r>
        <w:rPr>
          <w:rFonts w:hint="eastAsia" w:ascii="仿宋" w:hAnsi="仿宋" w:eastAsia="仿宋" w:cs="仿宋"/>
          <w:b w:val="0"/>
          <w:bCs w:val="0"/>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竞买方未按信息公告内容或交易流程要求履行交易程序的，平台有权扣除交易保证金作为相关方的补偿。</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交易双方自行办理标的交易价款结算，并进行标的交割。有需要办理变更、过户登记手续的，交易双方凭交易合同等材料到相关部门办理。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其他未尽事宜，按照服务协议、交易细则、交易文件及有关规定执行。</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本《网络竞价须知》有关条款的解释权归平台所有，平台有权根据相关法律、法规进行变更和修订。</w:t>
      </w:r>
    </w:p>
    <w:p>
      <w:pPr>
        <w:pStyle w:val="6"/>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sz w:val="28"/>
          <w:szCs w:val="28"/>
        </w:rPr>
      </w:pPr>
    </w:p>
    <w:p>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color w:val="FF0000"/>
          <w:sz w:val="28"/>
          <w:szCs w:val="28"/>
        </w:rPr>
      </w:pPr>
      <w:r>
        <w:rPr>
          <w:rFonts w:hint="eastAsia" w:ascii="黑体" w:hAnsi="黑体" w:eastAsia="黑体" w:cs="黑体"/>
          <w:b w:val="0"/>
          <w:bCs w:val="0"/>
          <w:color w:val="FF0000"/>
          <w:sz w:val="28"/>
          <w:szCs w:val="28"/>
        </w:rPr>
        <w:t>已详细阅读此竞价须知，对此竞价须知无异议。</w:t>
      </w: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b w:val="0"/>
          <w:sz w:val="28"/>
          <w:szCs w:val="28"/>
        </w:rPr>
      </w:pPr>
    </w:p>
    <w:p>
      <w:pPr>
        <w:pStyle w:val="2"/>
        <w:rPr>
          <w:rFonts w:hint="eastAsia"/>
        </w:rPr>
      </w:pP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b w:val="0"/>
          <w:sz w:val="28"/>
          <w:szCs w:val="28"/>
        </w:rPr>
      </w:pPr>
      <w:r>
        <w:rPr>
          <w:rFonts w:hint="eastAsia" w:ascii="仿宋" w:hAnsi="仿宋" w:eastAsia="仿宋" w:cs="仿宋"/>
          <w:b w:val="0"/>
          <w:sz w:val="28"/>
          <w:szCs w:val="28"/>
        </w:rPr>
        <w:t>签字（盖章）确认：</w:t>
      </w: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color w:val="000000"/>
          <w:sz w:val="28"/>
          <w:szCs w:val="28"/>
        </w:rPr>
      </w:pPr>
      <w:r>
        <w:rPr>
          <w:rFonts w:hint="eastAsia" w:ascii="仿宋" w:hAnsi="仿宋" w:eastAsia="仿宋" w:cs="仿宋"/>
          <w:b w:val="0"/>
          <w:sz w:val="28"/>
          <w:szCs w:val="28"/>
        </w:rPr>
        <w:t>日期：</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 xml:space="preserve">年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月</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日</w:t>
      </w:r>
    </w:p>
    <w:p>
      <w:pPr>
        <w:pStyle w:val="4"/>
        <w:spacing w:line="240" w:lineRule="auto"/>
        <w:rPr>
          <w:rFonts w:ascii="黑体" w:hAnsi="黑体"/>
          <w:color w:val="000000"/>
        </w:rPr>
      </w:pPr>
    </w:p>
    <w:p>
      <w:pPr>
        <w:pStyle w:val="4"/>
        <w:spacing w:before="0" w:after="0"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pPr>
        <w:pStyle w:val="4"/>
        <w:spacing w:before="0" w:after="0" w:line="240" w:lineRule="auto"/>
        <w:jc w:val="center"/>
        <w:rPr>
          <w:rFonts w:hint="eastAsia" w:ascii="方正小标宋简体" w:hAnsi="方正小标宋简体" w:eastAsia="方正小标宋简体" w:cs="方正小标宋简体"/>
          <w:b w:val="0"/>
          <w:bCs/>
          <w:color w:val="000000"/>
        </w:rPr>
      </w:pPr>
      <w:r>
        <w:rPr>
          <w:rFonts w:hint="eastAsia" w:ascii="方正小标宋简体" w:hAnsi="方正小标宋简体" w:eastAsia="方正小标宋简体" w:cs="方正小标宋简体"/>
          <w:b w:val="0"/>
          <w:bCs/>
          <w:color w:val="000000"/>
        </w:rPr>
        <w:t>网络竞价项目承诺函</w:t>
      </w:r>
      <w:bookmarkEnd w:id="10"/>
      <w:bookmarkEnd w:id="11"/>
      <w:bookmarkEnd w:id="12"/>
      <w:bookmarkEnd w:id="13"/>
      <w:bookmarkEnd w:id="14"/>
      <w:bookmarkEnd w:id="15"/>
      <w:bookmarkEnd w:id="16"/>
      <w:bookmarkEnd w:id="17"/>
      <w:bookmarkEnd w:id="18"/>
    </w:p>
    <w:p>
      <w:pPr>
        <w:rPr>
          <w:rFonts w:hint="eastAsia"/>
        </w:rPr>
      </w:pP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陵水农村产权交易中心</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本竞买方就参与“</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一、</w:t>
      </w:r>
      <w:r>
        <w:rPr>
          <w:rFonts w:hint="eastAsia" w:ascii="仿宋" w:hAnsi="仿宋" w:eastAsia="仿宋" w:cs="仿宋"/>
          <w:sz w:val="28"/>
          <w:szCs w:val="28"/>
        </w:rPr>
        <w:t>本竞买方同意按照信息公告的要求，参加“</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二、</w:t>
      </w:r>
      <w:r>
        <w:rPr>
          <w:rFonts w:hint="eastAsia" w:ascii="仿宋" w:hAnsi="仿宋" w:eastAsia="仿宋" w:cs="仿宋"/>
          <w:sz w:val="28"/>
          <w:szCs w:val="28"/>
        </w:rPr>
        <w:t>本竞买方对“</w:t>
      </w:r>
      <w:r>
        <w:rPr>
          <w:rFonts w:hint="eastAsia" w:ascii="仿宋" w:hAnsi="仿宋" w:eastAsia="仿宋" w:cs="仿宋"/>
          <w:b/>
          <w:bCs/>
          <w:color w:val="C00000"/>
          <w:sz w:val="28"/>
          <w:szCs w:val="28"/>
          <w:u w:val="single"/>
          <w:lang w:eastAsia="zh-CN"/>
        </w:rPr>
        <w:t>（标的名称）</w:t>
      </w:r>
      <w:r>
        <w:rPr>
          <w:rFonts w:hint="eastAsia" w:ascii="仿宋" w:hAnsi="仿宋" w:eastAsia="仿宋" w:cs="仿宋"/>
          <w:sz w:val="28"/>
          <w:szCs w:val="28"/>
        </w:rPr>
        <w:t>”项目和《</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农村产权交易中心网络竞价实施办法（试行）》《网络竞价须知》已充分了解，并自愿遵守文件中的相关规定。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三、</w:t>
      </w:r>
      <w:r>
        <w:rPr>
          <w:rFonts w:hint="eastAsia" w:ascii="仿宋" w:hAnsi="仿宋" w:eastAsia="仿宋" w:cs="仿宋"/>
          <w:sz w:val="28"/>
          <w:szCs w:val="28"/>
        </w:rPr>
        <w:t>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农村产权交易服务平台（http://</w:t>
      </w:r>
      <w:r>
        <w:rPr>
          <w:rFonts w:hint="eastAsia" w:ascii="仿宋" w:hAnsi="仿宋" w:eastAsia="仿宋" w:cs="仿宋"/>
          <w:sz w:val="28"/>
          <w:szCs w:val="28"/>
          <w:lang w:val="en-US" w:eastAsia="zh-CN"/>
        </w:rPr>
        <w:t>lingshuilizu</w:t>
      </w:r>
      <w:r>
        <w:rPr>
          <w:rFonts w:hint="eastAsia" w:ascii="仿宋" w:hAnsi="仿宋" w:eastAsia="仿宋" w:cs="仿宋"/>
          <w:sz w:val="28"/>
          <w:szCs w:val="28"/>
        </w:rPr>
        <w:t>.nongjiao.com</w:t>
      </w:r>
      <w:r>
        <w:rPr>
          <w:rFonts w:hint="eastAsia" w:ascii="仿宋" w:hAnsi="仿宋" w:eastAsia="仿宋" w:cs="仿宋"/>
          <w:sz w:val="28"/>
          <w:szCs w:val="28"/>
          <w:lang w:val="en-US" w:eastAsia="zh-CN"/>
        </w:rPr>
        <w:t>/</w:t>
      </w:r>
      <w:r>
        <w:rPr>
          <w:rFonts w:hint="eastAsia" w:ascii="仿宋" w:hAnsi="仿宋" w:eastAsia="仿宋" w:cs="仿宋"/>
          <w:sz w:val="28"/>
          <w:szCs w:val="28"/>
        </w:rPr>
        <w:t>，以下简称“平台”）无关。</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四、</w:t>
      </w:r>
      <w:r>
        <w:rPr>
          <w:rFonts w:hint="eastAsia" w:ascii="仿宋" w:hAnsi="仿宋" w:eastAsia="仿宋" w:cs="仿宋"/>
          <w:sz w:val="28"/>
          <w:szCs w:val="28"/>
        </w:rPr>
        <w:t>本竞买方同意出租（转让）方和平台有权根据《网络竞价须知》的规定扣除保证金。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五、</w:t>
      </w:r>
      <w:r>
        <w:rPr>
          <w:rFonts w:hint="eastAsia" w:ascii="仿宋" w:hAnsi="仿宋" w:eastAsia="仿宋" w:cs="仿宋"/>
          <w:sz w:val="28"/>
          <w:szCs w:val="28"/>
        </w:rPr>
        <w:t>本竞买方承诺在竞价成功后按照</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农村产权交易服务平台书面通知要求与出租（转让）方签署交易合同，并按《产权交易结算通知书》的约定支付交易价款。</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六、</w:t>
      </w:r>
      <w:r>
        <w:rPr>
          <w:rFonts w:hint="eastAsia" w:ascii="仿宋" w:hAnsi="仿宋" w:eastAsia="仿宋" w:cs="仿宋"/>
          <w:sz w:val="28"/>
          <w:szCs w:val="28"/>
        </w:rPr>
        <w:t>本竞买方承诺如遇互联网可能出现不稳定情况、网络黑客恶意攻击，以及本人操作失误等情况导致竞价无法正常报价的，所造成的损失由本竞买方承担（包括但不限于网络故障、电路故障、系统故障）。</w:t>
      </w:r>
    </w:p>
    <w:p>
      <w:pPr>
        <w:pStyle w:val="7"/>
        <w:keepNext w:val="0"/>
        <w:keepLines w:val="0"/>
        <w:pageBreakBefore w:val="0"/>
        <w:widowControl w:val="0"/>
        <w:kinsoku/>
        <w:wordWrap/>
        <w:overflowPunct/>
        <w:topLinePunct w:val="0"/>
        <w:autoSpaceDE/>
        <w:autoSpaceDN/>
        <w:bidi w:val="0"/>
        <w:adjustRightInd/>
        <w:spacing w:line="480" w:lineRule="exact"/>
        <w:ind w:left="0" w:leftChars="0" w:firstLine="560" w:firstLineChars="200"/>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xml:space="preserve">  　　　　　　　　　　　竞买方（签章）：</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rPr>
          <w:rFonts w:hint="eastAsia"/>
        </w:rPr>
      </w:pPr>
    </w:p>
    <w:p>
      <w:pPr>
        <w:rPr>
          <w:rFonts w:hint="eastAsia"/>
        </w:rPr>
      </w:pPr>
    </w:p>
    <w:p>
      <w:pPr>
        <w:pStyle w:val="2"/>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（标的名称）交易公示</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依据《陵水农村产权流转交易管理暂行办法》规定</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（标的</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名称）在陵水农村产权交易服务平台（https://lingshuilizu.nongjiao.com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）进行</w:t>
      </w:r>
      <w:r>
        <w:rPr>
          <w:rFonts w:hint="eastAsia" w:ascii="仿宋" w:hAnsi="仿宋" w:eastAsia="仿宋" w:cs="仿宋"/>
          <w:b w:val="0"/>
          <w:bCs w:val="0"/>
          <w:sz w:val="28"/>
          <w:szCs w:val="28"/>
          <w:lang w:val="en-US" w:eastAsia="zh-CN"/>
        </w:rPr>
        <w:t>流转</w:t>
      </w:r>
      <w:r>
        <w:rPr>
          <w:rFonts w:hint="eastAsia" w:ascii="仿宋" w:hAnsi="仿宋" w:eastAsia="仿宋" w:cs="仿宋"/>
          <w:b w:val="0"/>
          <w:bCs w:val="0"/>
          <w:sz w:val="28"/>
          <w:szCs w:val="28"/>
        </w:rPr>
        <w:t>交易，在平台挂牌交易，现将公示如下：</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一、标的信息</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标的名称：</w:t>
      </w:r>
      <w:r>
        <w:rPr>
          <w:rFonts w:hint="eastAsia" w:ascii="仿宋" w:hAnsi="仿宋" w:eastAsia="仿宋" w:cs="仿宋"/>
          <w:b w:val="0"/>
          <w:bCs w:val="0"/>
          <w:sz w:val="28"/>
          <w:szCs w:val="28"/>
        </w:rPr>
        <w:t>（标的名称）</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lang w:val="en-US" w:eastAsia="zh-CN"/>
        </w:rPr>
        <w:t>转出方</w:t>
      </w:r>
      <w:r>
        <w:rPr>
          <w:rFonts w:hint="eastAsia" w:ascii="楷体" w:hAnsi="楷体" w:eastAsia="楷体" w:cs="楷体"/>
          <w:b w:val="0"/>
          <w:bCs w:val="0"/>
          <w:sz w:val="28"/>
          <w:szCs w:val="28"/>
        </w:rPr>
        <w:t>：</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lang w:val="en-US" w:eastAsia="zh-CN"/>
        </w:rPr>
        <w:t>流转</w:t>
      </w:r>
      <w:r>
        <w:rPr>
          <w:rFonts w:hint="eastAsia" w:ascii="楷体" w:hAnsi="楷体" w:eastAsia="楷体" w:cs="楷体"/>
          <w:b w:val="0"/>
          <w:bCs w:val="0"/>
          <w:sz w:val="28"/>
          <w:szCs w:val="28"/>
        </w:rPr>
        <w:t>面积：</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流转</w:t>
      </w:r>
      <w:r>
        <w:rPr>
          <w:rFonts w:hint="eastAsia" w:ascii="楷体" w:hAnsi="楷体" w:eastAsia="楷体" w:cs="楷体"/>
          <w:b w:val="0"/>
          <w:bCs w:val="0"/>
          <w:sz w:val="28"/>
          <w:szCs w:val="28"/>
        </w:rPr>
        <w:t xml:space="preserve">期限：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 xml:space="preserve">挂牌价格：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报名保证金 ：</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报名时间：</w:t>
      </w: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10:00至202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10:00</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竞价时间：</w:t>
      </w:r>
      <w:r>
        <w:rPr>
          <w:rFonts w:hint="eastAsia" w:ascii="仿宋" w:hAnsi="仿宋" w:eastAsia="仿宋" w:cs="仿宋"/>
          <w:b w:val="0"/>
          <w:bCs w:val="0"/>
          <w:sz w:val="28"/>
          <w:szCs w:val="28"/>
        </w:rPr>
        <w:t>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10:00至202</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-xx-xx 16:00</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楷体" w:hAnsi="楷体" w:eastAsia="楷体" w:cs="楷体"/>
          <w:b w:val="0"/>
          <w:bCs w:val="0"/>
          <w:sz w:val="28"/>
          <w:szCs w:val="28"/>
        </w:rPr>
        <w:t>付款方式：</w:t>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default" w:ascii="仿宋" w:hAnsi="仿宋" w:eastAsia="仿宋" w:cs="仿宋"/>
          <w:b w:val="0"/>
          <w:bCs w:val="0"/>
          <w:sz w:val="28"/>
          <w:szCs w:val="28"/>
          <w:lang w:val="en-US" w:eastAsia="zh-CN"/>
        </w:rPr>
      </w:pPr>
      <w:r>
        <w:rPr>
          <w:rFonts w:hint="eastAsia" w:ascii="楷体" w:hAnsi="楷体" w:eastAsia="楷体" w:cs="楷体"/>
          <w:b w:val="0"/>
          <w:bCs w:val="0"/>
          <w:sz w:val="28"/>
          <w:szCs w:val="28"/>
        </w:rPr>
        <w:t>现场勘查联系方式：</w:t>
      </w:r>
      <w:r>
        <w:rPr>
          <w:rFonts w:hint="eastAsia" w:ascii="仿宋" w:hAnsi="仿宋" w:eastAsia="仿宋" w:cs="仿宋"/>
          <w:b w:val="0"/>
          <w:bCs w:val="0"/>
          <w:sz w:val="28"/>
          <w:szCs w:val="28"/>
        </w:rPr>
        <w:t>0898-83332655</w:t>
      </w:r>
      <w:r>
        <w:rPr>
          <w:rFonts w:hint="eastAsia" w:ascii="仿宋" w:hAnsi="仿宋" w:eastAsia="仿宋" w:cs="仿宋"/>
          <w:b w:val="0"/>
          <w:bCs w:val="0"/>
          <w:sz w:val="28"/>
          <w:szCs w:val="28"/>
          <w:lang w:eastAsia="zh-CN"/>
        </w:rPr>
        <w:t>；</w:t>
      </w:r>
      <w:r>
        <w:rPr>
          <w:rFonts w:hint="eastAsia" w:ascii="楷体" w:hAnsi="楷体" w:eastAsia="楷体" w:cs="楷体"/>
          <w:b w:val="0"/>
          <w:bCs w:val="0"/>
          <w:sz w:val="28"/>
          <w:szCs w:val="28"/>
          <w:lang w:val="en-US" w:eastAsia="zh-CN"/>
        </w:rPr>
        <w:t>联系人：</w:t>
      </w:r>
      <w:r>
        <w:rPr>
          <w:rFonts w:hint="eastAsia" w:ascii="仿宋" w:hAnsi="仿宋" w:eastAsia="仿宋" w:cs="仿宋"/>
          <w:b w:val="0"/>
          <w:bCs w:val="0"/>
          <w:sz w:val="28"/>
          <w:szCs w:val="28"/>
          <w:lang w:val="en-US" w:eastAsia="zh-CN"/>
        </w:rPr>
        <w:t>顾先生</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二、流转交易渠道</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项目将通过平台流转交易。</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监督电话：0898-</w:t>
      </w:r>
      <w:r>
        <w:rPr>
          <w:rFonts w:hint="eastAsia" w:ascii="仿宋" w:hAnsi="仿宋" w:eastAsia="仿宋" w:cs="仿宋"/>
          <w:b w:val="0"/>
          <w:bCs w:val="0"/>
          <w:sz w:val="28"/>
          <w:szCs w:val="28"/>
          <w:lang w:val="en-US" w:eastAsia="zh-CN"/>
        </w:rPr>
        <w:t>83332655</w:t>
      </w:r>
      <w:r>
        <w:rPr>
          <w:rFonts w:hint="eastAsia" w:ascii="仿宋" w:hAnsi="仿宋" w:eastAsia="仿宋" w:cs="仿宋"/>
          <w:b w:val="0"/>
          <w:bCs w:val="0"/>
          <w:sz w:val="28"/>
          <w:szCs w:val="28"/>
        </w:rPr>
        <w:t>（报名热线）</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报名地址：海南省陵水黎族自治县椰林南干道政务中心二楼。</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项目在平台挂网公告中，欢迎意向客户报名竞投!详情请登录 https://lingshuilizu.nongjiao.com/查看，以网站项目详情页为准。或扫下方二维码关注挂网项目。</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已详细阅读此交易公示，对此交易公示内容无异议。</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643" w:firstLineChars="200"/>
        <w:textAlignment w:val="auto"/>
        <w:rPr>
          <w:rFonts w:hint="eastAsia" w:ascii="仿宋" w:hAnsi="仿宋" w:eastAsia="仿宋" w:cs="仿宋"/>
          <w:b w:val="0"/>
          <w:bCs w:val="0"/>
          <w:sz w:val="28"/>
          <w:szCs w:val="28"/>
        </w:rPr>
      </w:pPr>
      <w:r>
        <w:rPr>
          <w:rFonts w:hint="eastAsia" w:ascii="仿宋_GB2312" w:hAnsi="仿宋_GB2312" w:eastAsia="仿宋_GB2312" w:cs="仿宋_GB2312"/>
          <w:sz w:val="32"/>
          <w:szCs w:val="32"/>
        </w:rPr>
        <w:drawing>
          <wp:anchor distT="0" distB="0" distL="114300" distR="114300" simplePos="0" relativeHeight="251661312" behindDoc="0" locked="0" layoutInCell="1" allowOverlap="1">
            <wp:simplePos x="0" y="0"/>
            <wp:positionH relativeFrom="column">
              <wp:posOffset>179705</wp:posOffset>
            </wp:positionH>
            <wp:positionV relativeFrom="paragraph">
              <wp:posOffset>154305</wp:posOffset>
            </wp:positionV>
            <wp:extent cx="1177290" cy="1177290"/>
            <wp:effectExtent l="0" t="0" r="3810" b="3810"/>
            <wp:wrapSquare wrapText="bothSides"/>
            <wp:docPr id="3" name="图片 3" descr="C:/Users/Lenovo/Desktop/农交中心/公众号推二维码图片/二维码.jp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Desktop/农交中心/公众号推二维码图片/二维码.jpg二维码"/>
                    <pic:cNvPicPr>
                      <a:picLocks noChangeAspect="1"/>
                    </pic:cNvPicPr>
                  </pic:nvPicPr>
                  <pic:blipFill>
                    <a:blip r:embed="rId4"/>
                    <a:srcRect t="27" b="27"/>
                    <a:stretch>
                      <a:fillRect/>
                    </a:stretch>
                  </pic:blipFill>
                  <pic:spPr>
                    <a:xfrm>
                      <a:off x="0" y="0"/>
                      <a:ext cx="1177290" cy="1177290"/>
                    </a:xfrm>
                    <a:prstGeom prst="rect">
                      <a:avLst/>
                    </a:prstGeom>
                    <a:noFill/>
                    <a:ln w="9525">
                      <a:noFill/>
                    </a:ln>
                  </pic:spPr>
                </pic:pic>
              </a:graphicData>
            </a:graphic>
          </wp:anchor>
        </w:drawing>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签字（盖章）确认：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rPr>
      </w:pPr>
      <w:r>
        <w:rPr>
          <w:rFonts w:hint="eastAsia" w:ascii="仿宋" w:hAnsi="仿宋" w:eastAsia="仿宋" w:cs="仿宋"/>
          <w:b w:val="0"/>
          <w:bCs w:val="0"/>
          <w:sz w:val="28"/>
          <w:szCs w:val="28"/>
        </w:rPr>
        <w:t xml:space="preserve">               年    月    日 </w:t>
      </w:r>
      <w:r>
        <w:rPr>
          <w:rFonts w:hint="eastAsia"/>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EF764"/>
    <w:multiLevelType w:val="singleLevel"/>
    <w:tmpl w:val="579EF764"/>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1Y2M3OTFlNmI2MmQwOTdlZWNlYWI0N2I3MGI4Y2QifQ=="/>
  </w:docVars>
  <w:rsids>
    <w:rsidRoot w:val="690A72F3"/>
    <w:rsid w:val="05A123CD"/>
    <w:rsid w:val="08D81421"/>
    <w:rsid w:val="09500FFF"/>
    <w:rsid w:val="0D2E1895"/>
    <w:rsid w:val="0E1344E4"/>
    <w:rsid w:val="10005E42"/>
    <w:rsid w:val="11CE086E"/>
    <w:rsid w:val="14A10346"/>
    <w:rsid w:val="175E0EBF"/>
    <w:rsid w:val="18734E4B"/>
    <w:rsid w:val="18C30A3B"/>
    <w:rsid w:val="18E77698"/>
    <w:rsid w:val="19412677"/>
    <w:rsid w:val="1976637F"/>
    <w:rsid w:val="1B7A0B16"/>
    <w:rsid w:val="21C44285"/>
    <w:rsid w:val="27F90F8D"/>
    <w:rsid w:val="28367EDF"/>
    <w:rsid w:val="2D5836CC"/>
    <w:rsid w:val="2F5667F8"/>
    <w:rsid w:val="30027B7A"/>
    <w:rsid w:val="306F2799"/>
    <w:rsid w:val="31276FC6"/>
    <w:rsid w:val="33E236AA"/>
    <w:rsid w:val="370858A6"/>
    <w:rsid w:val="3AED5E90"/>
    <w:rsid w:val="3B435EA9"/>
    <w:rsid w:val="3EC60770"/>
    <w:rsid w:val="404C1A70"/>
    <w:rsid w:val="40907DAB"/>
    <w:rsid w:val="44BD36EE"/>
    <w:rsid w:val="454D45E0"/>
    <w:rsid w:val="4BFC7E9F"/>
    <w:rsid w:val="4CBF52DD"/>
    <w:rsid w:val="4CF07EE4"/>
    <w:rsid w:val="4D671A4D"/>
    <w:rsid w:val="51332983"/>
    <w:rsid w:val="5427733B"/>
    <w:rsid w:val="54D35AAE"/>
    <w:rsid w:val="55555CEC"/>
    <w:rsid w:val="55EF078E"/>
    <w:rsid w:val="569E2348"/>
    <w:rsid w:val="5D857561"/>
    <w:rsid w:val="690A72F3"/>
    <w:rsid w:val="6CB12694"/>
    <w:rsid w:val="6E553B1B"/>
    <w:rsid w:val="6FBD20B8"/>
    <w:rsid w:val="763670C0"/>
    <w:rsid w:val="76D06FD8"/>
    <w:rsid w:val="78960D74"/>
    <w:rsid w:val="7E0B7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Verdana" w:hAnsi="Verdana"/>
      <w:szCs w:val="20"/>
    </w:r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标题4"/>
    <w:basedOn w:val="5"/>
    <w:link w:val="14"/>
    <w:qFormat/>
    <w:uiPriority w:val="0"/>
    <w:rPr>
      <w:rFonts w:ascii="Arial" w:hAnsi="Arial" w:eastAsia="宋体"/>
      <w:sz w:val="36"/>
    </w:rPr>
  </w:style>
  <w:style w:type="paragraph" w:customStyle="1" w:styleId="13">
    <w:name w:val="样式 标题 1 + 首行缩进:  2 字符"/>
    <w:basedOn w:val="3"/>
    <w:next w:val="1"/>
    <w:qFormat/>
    <w:uiPriority w:val="99"/>
    <w:pPr>
      <w:keepNext w:val="0"/>
      <w:keepLines w:val="0"/>
      <w:spacing w:before="0" w:after="0" w:line="240" w:lineRule="auto"/>
      <w:outlineLvl w:val="9"/>
    </w:pPr>
    <w:rPr>
      <w:rFonts w:ascii="??_GB2312" w:eastAsia="Times New Roman"/>
      <w:b w:val="0"/>
      <w:kern w:val="2"/>
      <w:sz w:val="21"/>
    </w:rPr>
  </w:style>
  <w:style w:type="character" w:customStyle="1" w:styleId="14">
    <w:name w:val="标题4 Char"/>
    <w:link w:val="12"/>
    <w:qFormat/>
    <w:locked/>
    <w:uiPriority w:val="0"/>
    <w:rPr>
      <w:rFonts w:ascii="Arial" w:hAnsi="Arial" w:eastAsia="宋体"/>
      <w:sz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陵水黎族自治县（椰林镇）</Company>
  <Pages>1</Pages>
  <Words>0</Words>
  <Characters>0</Characters>
  <Lines>0</Lines>
  <Paragraphs>0</Paragraphs>
  <TotalTime>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2024-08-09T02:59:00Z</dcterms:created>
  <dc:creator>Lenovo</dc:creator>
  <cp:lastModifiedBy>17675</cp:lastModifiedBy>
  <cp:lastPrinted>2024-08-13T00:37:00Z</cp:lastPrinted>
  <dcterms:modified xsi:type="dcterms:W3CDTF">2025-11-24T01:31:00Z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125F420D6F9A43B3ADD0F08E1C98CC74_12</vt:lpwstr>
  </property>
</Properties>
</file>