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8F2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7A1F1A0A">
      <w:pPr>
        <w:pStyle w:val="5"/>
        <w:rPr>
          <w:color w:val="auto"/>
          <w:highlight w:val="none"/>
          <w:lang w:val="en-US" w:eastAsia="zh-CN"/>
        </w:rPr>
      </w:pPr>
    </w:p>
    <w:p w14:paraId="58AE8333">
      <w:pPr>
        <w:keepNext w:val="0"/>
        <w:keepLines w:val="0"/>
        <w:widowControl/>
        <w:suppressLineNumbers w:val="0"/>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国有</w:t>
      </w:r>
      <w:r>
        <w:rPr>
          <w:rFonts w:hint="eastAsia" w:ascii="黑体" w:hAnsi="黑体" w:eastAsia="黑体" w:cs="黑体"/>
          <w:color w:val="auto"/>
          <w:sz w:val="44"/>
          <w:szCs w:val="44"/>
          <w:highlight w:val="none"/>
        </w:rPr>
        <w:t>资源性资产（鱼塘）出租合同</w:t>
      </w:r>
    </w:p>
    <w:p w14:paraId="72813EE7">
      <w:pPr>
        <w:keepNext w:val="0"/>
        <w:keepLines w:val="0"/>
        <w:widowControl/>
        <w:suppressLineNumbers w:val="0"/>
        <w:spacing w:line="520" w:lineRule="exact"/>
        <w:jc w:val="center"/>
        <w:rPr>
          <w:rFonts w:hint="eastAsia" w:ascii="黑体" w:hAnsi="黑体" w:eastAsia="黑体" w:cs="黑体"/>
          <w:color w:val="auto"/>
          <w:sz w:val="24"/>
          <w:szCs w:val="24"/>
          <w:highlight w:val="none"/>
        </w:rPr>
      </w:pPr>
    </w:p>
    <w:p w14:paraId="43CA58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为维护甲乙双方合法权益，根据《中华人民共和国民法典》等法律法规，遵循平等、自愿、公平、诚信原则，经双方协商一致，订立本合同。</w:t>
      </w:r>
    </w:p>
    <w:p w14:paraId="2C2090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p>
    <w:p w14:paraId="16C967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东方市示范牧场农业科技发展有限责任公司</w:t>
      </w:r>
      <w:r>
        <w:rPr>
          <w:rFonts w:hint="eastAsia" w:ascii="宋体" w:hAnsi="宋体" w:eastAsia="宋体" w:cs="宋体"/>
          <w:b w:val="0"/>
          <w:bCs/>
          <w:color w:val="auto"/>
          <w:sz w:val="24"/>
          <w:szCs w:val="24"/>
          <w:highlight w:val="none"/>
          <w:u w:val="single"/>
        </w:rPr>
        <w:t xml:space="preserve">    </w:t>
      </w:r>
    </w:p>
    <w:p w14:paraId="547921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社会信用代码: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91469007708983852M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14:paraId="68597F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高方果</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7FE778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460007197405120011 </w:t>
      </w:r>
      <w:r>
        <w:rPr>
          <w:rFonts w:hint="eastAsia" w:ascii="宋体" w:hAnsi="宋体" w:eastAsia="宋体" w:cs="宋体"/>
          <w:b w:val="0"/>
          <w:bCs/>
          <w:color w:val="auto"/>
          <w:sz w:val="24"/>
          <w:szCs w:val="24"/>
          <w:highlight w:val="none"/>
          <w:u w:val="single"/>
        </w:rPr>
        <w:t xml:space="preserve">                    </w:t>
      </w:r>
    </w:p>
    <w:p w14:paraId="7962C4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东方市罗带村高坡岭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138766059955</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 xml:space="preserve">    </w:t>
      </w:r>
    </w:p>
    <w:p w14:paraId="62F19C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经营主体类型：□自然人 □农村承包经营户 </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 xml:space="preserve">国有企业 </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家庭农场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农村集体经济组织 □公司 □其他:</w:t>
      </w:r>
      <w:r>
        <w:rPr>
          <w:rFonts w:hint="eastAsia" w:ascii="宋体" w:hAnsi="宋体" w:eastAsia="宋体" w:cs="宋体"/>
          <w:b w:val="0"/>
          <w:bCs/>
          <w:color w:val="auto"/>
          <w:sz w:val="24"/>
          <w:szCs w:val="24"/>
          <w:highlight w:val="none"/>
          <w:u w:val="single"/>
        </w:rPr>
        <w:t xml:space="preserve">          </w:t>
      </w:r>
    </w:p>
    <w:p w14:paraId="1153C5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p>
    <w:p w14:paraId="43CCD1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乙方（承租方）：</w:t>
      </w:r>
      <w:r>
        <w:rPr>
          <w:rFonts w:hint="eastAsia" w:ascii="宋体" w:hAnsi="宋体" w:eastAsia="宋体" w:cs="宋体"/>
          <w:b w:val="0"/>
          <w:bCs/>
          <w:color w:val="auto"/>
          <w:sz w:val="24"/>
          <w:szCs w:val="24"/>
          <w:highlight w:val="none"/>
          <w:u w:val="single"/>
        </w:rPr>
        <w:t xml:space="preserve">                 </w:t>
      </w:r>
    </w:p>
    <w:p w14:paraId="3C229B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□社会信用代码：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3F9ED9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□身份证号码: </w:t>
      </w:r>
      <w:r>
        <w:rPr>
          <w:rFonts w:hint="eastAsia" w:ascii="宋体" w:hAnsi="宋体" w:eastAsia="宋体" w:cs="宋体"/>
          <w:b w:val="0"/>
          <w:bCs/>
          <w:color w:val="auto"/>
          <w:sz w:val="24"/>
          <w:szCs w:val="24"/>
          <w:highlight w:val="none"/>
          <w:u w:val="single"/>
        </w:rPr>
        <w:t xml:space="preserve">                  </w:t>
      </w:r>
    </w:p>
    <w:p w14:paraId="2E3B8EE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p>
    <w:p w14:paraId="267C7F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012AFA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p>
    <w:p w14:paraId="23CBC5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经营主体类型：□自然人 □农村承包经营户 □农民专业合作社 □家庭农场 □公司 □其他:</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5C6FC9D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出租标的及用途</w:t>
      </w:r>
    </w:p>
    <w:p w14:paraId="129A59B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标的物 ：甲方将位于</w:t>
      </w:r>
      <w:r>
        <w:rPr>
          <w:rFonts w:hint="eastAsia" w:ascii="宋体" w:hAnsi="宋体" w:cs="宋体"/>
          <w:color w:val="auto"/>
          <w:sz w:val="24"/>
          <w:szCs w:val="24"/>
          <w:highlight w:val="none"/>
          <w:u w:val="single"/>
          <w:lang w:val="en-US" w:eastAsia="zh-CN"/>
        </w:rPr>
        <w:t xml:space="preserve">   东方市示范牧场18.7亩    </w:t>
      </w:r>
      <w:r>
        <w:rPr>
          <w:rFonts w:hint="eastAsia" w:ascii="宋体" w:hAnsi="宋体" w:eastAsia="宋体" w:cs="宋体"/>
          <w:color w:val="auto"/>
          <w:sz w:val="24"/>
          <w:szCs w:val="24"/>
          <w:highlight w:val="none"/>
        </w:rPr>
        <w:t>鱼塘出租给乙方，总面积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亩，四至界限为：东至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仁和公司 </w:t>
      </w:r>
      <w:r>
        <w:rPr>
          <w:rFonts w:hint="eastAsia" w:ascii="宋体" w:hAnsi="宋体" w:eastAsia="宋体" w:cs="宋体"/>
          <w:color w:val="auto"/>
          <w:sz w:val="24"/>
          <w:szCs w:val="24"/>
          <w:highlight w:val="none"/>
        </w:rPr>
        <w:t>、南至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7号水坝 </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北纬18度公司自然沟 </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公路  </w:t>
      </w:r>
      <w:r>
        <w:rPr>
          <w:rFonts w:hint="eastAsia" w:ascii="宋体" w:hAnsi="宋体" w:eastAsia="宋体" w:cs="宋体"/>
          <w:color w:val="auto"/>
          <w:sz w:val="24"/>
          <w:szCs w:val="24"/>
          <w:highlight w:val="none"/>
        </w:rPr>
        <w:t>。</w:t>
      </w:r>
    </w:p>
    <w:p w14:paraId="01D5A2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2.用途 ：乙方承租鱼塘用于</w:t>
      </w:r>
      <w:r>
        <w:rPr>
          <w:rFonts w:hint="eastAsia" w:ascii="宋体" w:hAnsi="宋体" w:cs="宋体"/>
          <w:color w:val="auto"/>
          <w:sz w:val="24"/>
          <w:szCs w:val="24"/>
          <w:highlight w:val="none"/>
          <w:u w:val="single"/>
          <w:lang w:val="en-US" w:eastAsia="zh-CN"/>
        </w:rPr>
        <w:t xml:space="preserve">    养鱼</w:t>
      </w:r>
      <w:bookmarkStart w:id="0" w:name="_GoBack"/>
      <w:bookmarkEnd w:id="0"/>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，未经行政审批不得从事特种养殖或改变用途。</w:t>
      </w:r>
    </w:p>
    <w:p w14:paraId="55E8E7DF">
      <w:pPr>
        <w:spacing w:line="52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第二条  租赁期限与交付</w:t>
      </w:r>
    </w:p>
    <w:p w14:paraId="191685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1.租赁期限 ：</w:t>
      </w:r>
      <w:r>
        <w:rPr>
          <w:rFonts w:hint="eastAsia" w:ascii="宋体" w:hAnsi="宋体" w:cs="宋体"/>
          <w:color w:val="auto"/>
          <w:sz w:val="24"/>
          <w:szCs w:val="24"/>
          <w:highlight w:val="none"/>
          <w:u w:val="single"/>
          <w:lang w:val="en-US" w:eastAsia="zh-CN"/>
        </w:rPr>
        <w:t xml:space="preserve">   10  </w:t>
      </w:r>
      <w:r>
        <w:rPr>
          <w:rFonts w:hint="eastAsia" w:ascii="宋体" w:hAnsi="宋体" w:cs="宋体"/>
          <w:color w:val="auto"/>
          <w:sz w:val="24"/>
          <w:szCs w:val="24"/>
          <w:highlight w:val="none"/>
          <w:lang w:val="en-US" w:eastAsia="zh-CN"/>
        </w:rPr>
        <w:t>年，自_____年____月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年___月____日止。  </w:t>
      </w:r>
    </w:p>
    <w:p w14:paraId="69BDF1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2.交付时间 ：甲方应于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日前完成鱼塘交付。</w:t>
      </w:r>
    </w:p>
    <w:p w14:paraId="77993735">
      <w:pPr>
        <w:spacing w:line="52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第三条  租金及支付方式</w:t>
      </w:r>
    </w:p>
    <w:p w14:paraId="170F609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1.租金标准 ：人民币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元/年（大写：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64BDFA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 ：按</w:t>
      </w:r>
      <w:r>
        <w:rPr>
          <w:rFonts w:hint="eastAsia" w:ascii="宋体" w:hAnsi="宋体" w:cs="宋体"/>
          <w:color w:val="auto"/>
          <w:sz w:val="24"/>
          <w:szCs w:val="24"/>
          <w:highlight w:val="none"/>
          <w:u w:val="single"/>
          <w:lang w:val="en-US" w:eastAsia="zh-CN"/>
        </w:rPr>
        <w:t xml:space="preserve">  一  </w:t>
      </w:r>
      <w:r>
        <w:rPr>
          <w:rFonts w:hint="eastAsia" w:ascii="宋体" w:hAnsi="宋体" w:eastAsia="宋体" w:cs="宋体"/>
          <w:color w:val="auto"/>
          <w:sz w:val="24"/>
          <w:szCs w:val="24"/>
          <w:highlight w:val="none"/>
        </w:rPr>
        <w:t>年一付，租金每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none"/>
          <w:lang w:val="en-US" w:eastAsia="zh-CN"/>
        </w:rPr>
        <w:t>递增</w:t>
      </w:r>
      <w:r>
        <w:rPr>
          <w:rFonts w:hint="eastAsia" w:ascii="宋体" w:hAnsi="宋体" w:cs="宋体"/>
          <w:color w:val="auto"/>
          <w:sz w:val="24"/>
          <w:szCs w:val="24"/>
          <w:highlight w:val="none"/>
          <w:u w:val="single"/>
          <w:lang w:val="en-US" w:eastAsia="zh-CN"/>
        </w:rPr>
        <w:t xml:space="preserve"> 2</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。首期租金于__________年__________月__________日前支付，后续租金应</w:t>
      </w:r>
      <w:r>
        <w:rPr>
          <w:rFonts w:hint="eastAsia" w:ascii="宋体" w:hAnsi="宋体" w:cs="宋体"/>
          <w:color w:val="auto"/>
          <w:sz w:val="24"/>
          <w:szCs w:val="24"/>
          <w:highlight w:val="none"/>
          <w:lang w:val="en-US" w:eastAsia="zh-CN"/>
        </w:rPr>
        <w:t>于每个租赁年度开始前</w:t>
      </w:r>
      <w:r>
        <w:rPr>
          <w:rFonts w:hint="eastAsia" w:ascii="宋体" w:hAnsi="宋体" w:eastAsia="宋体" w:cs="宋体"/>
          <w:color w:val="auto"/>
          <w:sz w:val="24"/>
          <w:szCs w:val="24"/>
          <w:highlight w:val="none"/>
        </w:rPr>
        <w:t xml:space="preserve">30日支付至甲方指定账户：  </w:t>
      </w:r>
    </w:p>
    <w:p w14:paraId="7F383C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开户名：</w:t>
      </w:r>
      <w:r>
        <w:rPr>
          <w:rFonts w:hint="eastAsia" w:ascii="宋体" w:hAnsi="宋体" w:cs="宋体"/>
          <w:color w:val="auto"/>
          <w:sz w:val="24"/>
          <w:szCs w:val="24"/>
          <w:highlight w:val="none"/>
          <w:u w:val="single"/>
          <w:lang w:val="en-US" w:eastAsia="zh-CN"/>
        </w:rPr>
        <w:t xml:space="preserve">   东方市示范牧场农业科技发展有限责任公司        </w:t>
      </w:r>
    </w:p>
    <w:p w14:paraId="0FCDF8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r>
        <w:rPr>
          <w:rFonts w:hint="eastAsia" w:ascii="宋体" w:hAnsi="宋体" w:cs="宋体"/>
          <w:color w:val="auto"/>
          <w:sz w:val="24"/>
          <w:szCs w:val="24"/>
          <w:highlight w:val="none"/>
          <w:u w:val="single"/>
          <w:lang w:val="en-US" w:eastAsia="zh-CN"/>
        </w:rPr>
        <w:t xml:space="preserve">     海南农商银行东方市南海支行                  </w:t>
      </w:r>
      <w:r>
        <w:rPr>
          <w:rFonts w:hint="eastAsia" w:ascii="宋体" w:hAnsi="宋体" w:eastAsia="宋体" w:cs="宋体"/>
          <w:color w:val="auto"/>
          <w:sz w:val="24"/>
          <w:szCs w:val="24"/>
          <w:highlight w:val="none"/>
        </w:rPr>
        <w:t xml:space="preserve">  </w:t>
      </w:r>
    </w:p>
    <w:p w14:paraId="1DA9641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211602002003500000051                      </w:t>
      </w:r>
    </w:p>
    <w:p w14:paraId="3A722D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none"/>
          <w:lang w:val="en-US" w:eastAsia="zh-CN"/>
        </w:rPr>
        <w:t>3.其他：</w:t>
      </w:r>
      <w:r>
        <w:rPr>
          <w:rFonts w:hint="default"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default"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none"/>
          <w:lang w:val="en-US" w:eastAsia="zh-CN"/>
        </w:rPr>
        <w:t xml:space="preserve"> </w:t>
      </w:r>
    </w:p>
    <w:p w14:paraId="2D62E62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双方权利义务</w:t>
      </w:r>
    </w:p>
    <w:p w14:paraId="1790F87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 xml:space="preserve">权利  </w:t>
      </w:r>
    </w:p>
    <w:p w14:paraId="38A3BBB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要求乙方按合同约定支付租金；</w:t>
      </w:r>
    </w:p>
    <w:p w14:paraId="03F774B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监督乙方按合同约定的用途依法合理利用和保护出租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731D82D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制止乙方损害出租鱼塘和农业资源的行为；</w:t>
      </w:r>
    </w:p>
    <w:p w14:paraId="5FB8694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租赁期限届满后收回</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6D80C59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62D6D2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）甲方的义务</w:t>
      </w:r>
    </w:p>
    <w:p w14:paraId="2D2E69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确保</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权属清晰，无纠纷；</w:t>
      </w:r>
    </w:p>
    <w:p w14:paraId="77204E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按照合同约定交付出租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4BE8EF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不得干涉和妨碍乙方依法进行的生产经营活动；  </w:t>
      </w:r>
    </w:p>
    <w:p w14:paraId="26F34F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C8887F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乙方的权利</w:t>
      </w:r>
    </w:p>
    <w:p w14:paraId="5EB928D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1.要求甲方按照合同约定交付出租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p>
    <w:p w14:paraId="37C50B5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2.在合同约定的期限内占有</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，自主开展生产经营并取得收益；</w:t>
      </w:r>
    </w:p>
    <w:p w14:paraId="22BEDC0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3.租赁期限届满，有权在同等条件下优先承租；</w:t>
      </w:r>
    </w:p>
    <w:p w14:paraId="30C7FEC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DD44F3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）乙方的义务</w:t>
      </w:r>
    </w:p>
    <w:p w14:paraId="5CB3DAE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1.按照合同约定及时接受出租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并按照约定向甲方支付租金；</w:t>
      </w:r>
    </w:p>
    <w:p w14:paraId="6ACC416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2.在法律法规政策规定和合同约定允许范围内合理利用出租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不得</w:t>
      </w:r>
      <w:r>
        <w:rPr>
          <w:rFonts w:hint="eastAsia" w:ascii="宋体" w:hAnsi="宋体" w:eastAsia="宋体" w:cs="宋体"/>
          <w:color w:val="auto"/>
          <w:sz w:val="24"/>
          <w:szCs w:val="24"/>
          <w:highlight w:val="none"/>
          <w:lang w:val="en-US" w:eastAsia="zh-CN"/>
        </w:rPr>
        <w:t>损害出租鱼塘和农业资源的行为；</w:t>
      </w:r>
    </w:p>
    <w:p w14:paraId="7333729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3.依据有关法律法规保护出租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，禁止</w:t>
      </w:r>
      <w:r>
        <w:rPr>
          <w:rFonts w:hint="eastAsia" w:ascii="宋体" w:hAnsi="宋体" w:cs="宋体"/>
          <w:color w:val="auto"/>
          <w:sz w:val="24"/>
          <w:szCs w:val="24"/>
          <w:highlight w:val="none"/>
          <w:lang w:val="en-US" w:eastAsia="zh-CN"/>
        </w:rPr>
        <w:t>私自</w:t>
      </w:r>
      <w:r>
        <w:rPr>
          <w:rFonts w:hint="eastAsia" w:ascii="宋体" w:hAnsi="宋体" w:eastAsia="宋体" w:cs="宋体"/>
          <w:color w:val="auto"/>
          <w:sz w:val="24"/>
          <w:szCs w:val="24"/>
          <w:highlight w:val="none"/>
          <w:lang w:val="en-US" w:eastAsia="zh-CN"/>
        </w:rPr>
        <w:t>转租、私挖取土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挖砂、破坏生态，违者承担法律责任； </w:t>
      </w:r>
    </w:p>
    <w:p w14:paraId="46D8CB0D">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乙方应于本合同生效后七日内，向甲方一次性支付相当于首年租金总额的履约保证金，即人民币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元（大写：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本合同有效期内，若乙方发生任何违反本合同约定义务的行为，甲方有权直接从履约保证金中扣除相当于乙方应支付的违约金、赔偿金及其他费用。乙方应在甲方扣款后七日内补足履约保证金至本条约定的金额。合同期限届满或提前终止，且乙方结清所有费用、将鱼塘按约定交还甲方后，甲方在三十日内将履约保证金余额无息退还乙方。若乙方未按时补足，甲方有权解除合同并要求乙方承担全部违约责任</w:t>
      </w:r>
      <w:r>
        <w:rPr>
          <w:rFonts w:hint="eastAsia" w:ascii="宋体" w:hAnsi="宋体" w:eastAsia="宋体" w:cs="宋体"/>
          <w:color w:val="auto"/>
          <w:sz w:val="24"/>
          <w:szCs w:val="24"/>
          <w:highlight w:val="none"/>
          <w:lang w:val="en-US" w:eastAsia="zh-CN"/>
        </w:rPr>
        <w:t xml:space="preserve">。      </w:t>
      </w:r>
    </w:p>
    <w:p w14:paraId="486144DC">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14:paraId="1C89747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一 ）甲方同意乙方依法</w:t>
      </w:r>
    </w:p>
    <w:p w14:paraId="58E9885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建设农业生产附属、配套设施</w:t>
      </w:r>
    </w:p>
    <w:p w14:paraId="14385A4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 xml:space="preserve">经营权融资担保  </w:t>
      </w:r>
    </w:p>
    <w:p w14:paraId="70F508F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□再流转</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经营权</w:t>
      </w:r>
    </w:p>
    <w:p w14:paraId="556A525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乙方需按照相关规定依法依规使用该鱼塘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E996EA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（二）该出租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的财政补贴等归属：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乙方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5F9D33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缴纳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不缴纳  </w:t>
      </w:r>
      <w:r>
        <w:rPr>
          <w:rFonts w:hint="eastAsia" w:ascii="宋体" w:hAnsi="宋体" w:cs="宋体"/>
          <w:color w:val="auto"/>
          <w:sz w:val="24"/>
          <w:szCs w:val="24"/>
          <w:highlight w:val="none"/>
          <w:lang w:val="en-US" w:eastAsia="zh-CN"/>
        </w:rPr>
        <w:t>履约保证金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  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），合同到期后的处理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处理方式按本合同第（四）乙方的义务中第4点其他执行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FD6061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（四）本合同期限内， 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lang w:val="en-US" w:eastAsia="zh-CN"/>
        </w:rPr>
        <w:t>被依法征收、征用、占用时，甲乙双方均应予以配合，本合同自动终止。</w:t>
      </w:r>
    </w:p>
    <w:p w14:paraId="0CABEBBB">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5846A8D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乙方承诺无条件配合征收工作，并应在收到甲方或政府部门书面通知后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内，自行清理并运走其投入的地上附着物、设施设备及养殖物等。清理费用由乙方自行承担。逾期未清理的，视为乙方放弃所有权，甲方或政府部门有权自行处置，乙方无权要求任何补偿，且乙方应承担由此产生的处置费用。</w:t>
      </w:r>
    </w:p>
    <w:p w14:paraId="6FA2F00D">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征收补偿事宜由政府相关部门依法依规执行。甲方负责主导与政府的整体协商工作，乙方可参与与其自身资产补偿相关的部分并提出意见。</w:t>
      </w:r>
    </w:p>
    <w:p w14:paraId="7346753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归属于土地的补偿费用（包括但不限于土地补偿费、安置补助费、社会保障费用等）及其他基于土地所有权产生的补偿，全部归甲方所有。</w:t>
      </w:r>
    </w:p>
    <w:p w14:paraId="2086ADA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乙方因其投资形成的资产（即地上附着物、养殖物等）所获得的补偿，归乙方所有。</w:t>
      </w:r>
    </w:p>
    <w:p w14:paraId="779BCC0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租金计算至鱼塘被正式移交予征收部门之日止。甲方应在乙方按期完成本条第1款约定的清理义务并将鱼塘完整交还甲方后，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日内向乙方无息返还剩余部分的租金</w:t>
      </w:r>
      <w:r>
        <w:rPr>
          <w:rFonts w:hint="eastAsia" w:ascii="宋体" w:hAnsi="宋体" w:eastAsia="宋体" w:cs="宋体"/>
          <w:b/>
          <w:bCs/>
          <w:color w:val="auto"/>
          <w:sz w:val="24"/>
          <w:szCs w:val="24"/>
          <w:highlight w:val="none"/>
          <w:lang w:val="en-US" w:eastAsia="zh-CN"/>
        </w:rPr>
        <w:t>。</w:t>
      </w:r>
    </w:p>
    <w:p w14:paraId="4F9FBE7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6.政府或甲方收回鱼塘时本承包合同相关法律效益不在生效，合同将进行终止，双方互不追究违约责任。</w:t>
      </w:r>
    </w:p>
    <w:p w14:paraId="2EC6B21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条 不可抗力与合同解除</w:t>
      </w:r>
    </w:p>
    <w:p w14:paraId="054B61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一）合同有效期间，因不可抗力因素致使合同全部不能履行时， 本合同自动终止，甲方将合同终止日至租赁到期日的期限内已收取的租金退还给乙方；致使合同部分不能履行的，其他部分继续履行，租金可以作相应调整。</w:t>
      </w:r>
    </w:p>
    <w:p w14:paraId="4B5684F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二）合同期满后，乙方因其投资形成的资产（即地上附着物、养殖物等）归乙方所有。由乙方负责清场工作并于清场后10个工作日内归回鱼塘至甲方，甲方后续将通过网络挂拍方式对外出租，若乙方未在约定期限内完成清场，甲方有权自行或委托第三方处置，所产生的全部费用由乙方承担，甲方可直接从履约保证金中扣除，不足部分有权向乙方追偿。</w:t>
      </w:r>
    </w:p>
    <w:p w14:paraId="212A76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（三）合同到期或者未到期由甲方依法提前收回出租鱼塘时， 乙方依法投资建设的农业生产附属、配套设施处置方式：</w:t>
      </w:r>
    </w:p>
    <w:p w14:paraId="419DC8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□由甲方无偿处置。</w:t>
      </w:r>
    </w:p>
    <w:p w14:paraId="7C1391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□经有资质的第三方评估后，由甲方支付价款购买。</w:t>
      </w:r>
    </w:p>
    <w:p w14:paraId="643F9A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□经双方协商后，由甲方支付价款购买。</w:t>
      </w:r>
    </w:p>
    <w:p w14:paraId="1C796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□由乙方恢复原状。</w:t>
      </w:r>
    </w:p>
    <w:p w14:paraId="4B3219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☑其他:</w:t>
      </w:r>
      <w:r>
        <w:rPr>
          <w:rFonts w:hint="eastAsia" w:ascii="宋体" w:hAnsi="宋体" w:cs="宋体"/>
          <w:color w:val="auto"/>
          <w:sz w:val="24"/>
          <w:szCs w:val="24"/>
          <w:highlight w:val="none"/>
          <w:u w:val="single"/>
          <w:lang w:val="en-US" w:eastAsia="zh-CN"/>
        </w:rPr>
        <w:t xml:space="preserve"> 由乙方负责清场工作并于清场后10个工作日内归回鱼塘至甲方。若乙方未在约定期限内完成清场，甲方有权自行或委托第三方处置，所产生的全部费用由乙方承担，甲方可直接从履约保证金中扣除，不足部分有权向乙方追偿</w:t>
      </w:r>
      <w:r>
        <w:rPr>
          <w:rFonts w:hint="eastAsia" w:ascii="宋体" w:hAnsi="宋体" w:cs="宋体"/>
          <w:color w:val="auto"/>
          <w:sz w:val="24"/>
          <w:szCs w:val="24"/>
          <w:highlight w:val="none"/>
          <w:u w:val="none"/>
          <w:lang w:val="en-US" w:eastAsia="zh-CN"/>
        </w:rPr>
        <w:t xml:space="preserve">。  </w:t>
      </w:r>
    </w:p>
    <w:p w14:paraId="3FF618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  违约责任</w:t>
      </w:r>
    </w:p>
    <w:p w14:paraId="45F494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（一）任何一方违约给对方造成损失的，违约方应赔偿守约方因此遭受的全部损失，包括但不限于直接经济损失、违约金、律师费、诉讼费、保全费、</w:t>
      </w:r>
      <w:r>
        <w:rPr>
          <w:rFonts w:hint="eastAsia" w:ascii="宋体" w:hAnsi="宋体" w:cs="宋体"/>
          <w:color w:val="auto"/>
          <w:sz w:val="24"/>
          <w:szCs w:val="24"/>
          <w:highlight w:val="none"/>
          <w:lang w:val="en-US" w:eastAsia="zh-CN"/>
        </w:rPr>
        <w:t>保全担保费、</w:t>
      </w:r>
      <w:r>
        <w:rPr>
          <w:rFonts w:hint="eastAsia" w:ascii="宋体" w:hAnsi="宋体" w:eastAsia="宋体" w:cs="宋体"/>
          <w:color w:val="auto"/>
          <w:sz w:val="24"/>
          <w:szCs w:val="24"/>
          <w:highlight w:val="none"/>
        </w:rPr>
        <w:t>鉴定费、评估费等。</w:t>
      </w:r>
    </w:p>
    <w:p w14:paraId="343AE0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（二）甲方应按合同规定按时向乙方交付</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 逾期一日应向乙方支付年租金的万分之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乙方有权解除合同，甲方应当赔偿损失。</w:t>
      </w:r>
    </w:p>
    <w:p w14:paraId="713561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（三）甲方出租的</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存在权属纠纷或经济纠纷，致使合同全部或部分不能履行的，甲方应当赔偿损失。</w:t>
      </w:r>
    </w:p>
    <w:p w14:paraId="1ABCD5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（四）甲方违反合同约定擅自干涉和破坏乙方的生产经营,致使乙方无法进行正常的生产经营活动的，乙方有权解除合同，甲方应当赔偿损失。</w:t>
      </w:r>
    </w:p>
    <w:p w14:paraId="007472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（五）乙方应按照合同规定按时足额向甲方支付租金，逾期一日乙方应向甲方支付年租金的万分之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 逾期超过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日，甲方有权解除合同，乙方应当赔偿损失。</w:t>
      </w:r>
    </w:p>
    <w:p w14:paraId="32CC75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（六）出现下列情形之一的，甲方有权单方解除本合同，收回鱼塘，</w:t>
      </w:r>
      <w:r>
        <w:rPr>
          <w:rFonts w:hint="eastAsia" w:ascii="宋体" w:hAnsi="宋体" w:cs="宋体"/>
          <w:color w:val="auto"/>
          <w:sz w:val="24"/>
          <w:szCs w:val="24"/>
          <w:highlight w:val="none"/>
          <w:lang w:eastAsia="zh-CN"/>
        </w:rPr>
        <w:t>并有权要求乙方按照年度总租金的</w:t>
      </w:r>
      <w:r>
        <w:rPr>
          <w:rFonts w:hint="eastAsia" w:ascii="宋体" w:hAnsi="宋体" w:cs="宋体"/>
          <w:color w:val="auto"/>
          <w:sz w:val="24"/>
          <w:szCs w:val="24"/>
          <w:highlight w:val="none"/>
          <w:lang w:val="en-US" w:eastAsia="zh-CN"/>
        </w:rPr>
        <w:t>20%支付违约金，</w:t>
      </w:r>
      <w:r>
        <w:rPr>
          <w:rFonts w:hint="eastAsia" w:ascii="宋体" w:hAnsi="宋体" w:eastAsia="宋体" w:cs="宋体"/>
          <w:color w:val="auto"/>
          <w:sz w:val="24"/>
          <w:szCs w:val="24"/>
          <w:highlight w:val="none"/>
        </w:rPr>
        <w:t>并要求乙方赔偿全部损失：</w:t>
      </w:r>
    </w:p>
    <w:p w14:paraId="2B14CC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未经甲方书面同意，乙方擅自转租、分租、转让、以其鱼塘经营权进行融资担保或以其他方式将鱼塘交由第三方实际使用的；</w:t>
      </w:r>
    </w:p>
    <w:p w14:paraId="475242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乙方私自改变鱼塘用途或结构，或从事非法活动，或受到相关政府部门处罚，导致鱼塘被查封、扣押、征收或对甲方声誉造成严重不利影响的；</w:t>
      </w:r>
    </w:p>
    <w:p w14:paraId="55AB51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乙方在鱼塘区域内私挖取土、挖砂、破坏水利等基本设施或对鱼塘造成永久性损害的；</w:t>
      </w:r>
    </w:p>
    <w:p w14:paraId="50E064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乙方违反环保、渔业等法律法规进行养殖，经甲方或相关部门指出后拒不改正的。</w:t>
      </w:r>
    </w:p>
    <w:p w14:paraId="0C8447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甲方根据本款解除合同的，已收取的履约保证金不予退还。</w:t>
      </w:r>
      <w:r>
        <w:rPr>
          <w:rFonts w:hint="eastAsia" w:ascii="宋体" w:hAnsi="宋体" w:cs="宋体"/>
          <w:color w:val="auto"/>
          <w:sz w:val="24"/>
          <w:szCs w:val="24"/>
          <w:highlight w:val="none"/>
          <w:lang w:val="en-US" w:eastAsia="zh-CN"/>
        </w:rPr>
        <w:t>乙方还需承担上述情形产生的法律责任。</w:t>
      </w:r>
    </w:p>
    <w:p w14:paraId="71780F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（七）合同期限届满的， 乙方应当按照合同约定将原出租</w:t>
      </w:r>
      <w:r>
        <w:rPr>
          <w:rFonts w:hint="eastAsia" w:ascii="宋体" w:hAnsi="宋体" w:cs="宋体"/>
          <w:color w:val="auto"/>
          <w:sz w:val="24"/>
          <w:szCs w:val="24"/>
          <w:highlight w:val="none"/>
          <w:lang w:val="en-US" w:eastAsia="zh-CN"/>
        </w:rPr>
        <w:t>鱼塘</w:t>
      </w:r>
      <w:r>
        <w:rPr>
          <w:rFonts w:hint="eastAsia" w:ascii="宋体" w:hAnsi="宋体" w:eastAsia="宋体" w:cs="宋体"/>
          <w:color w:val="auto"/>
          <w:sz w:val="24"/>
          <w:szCs w:val="24"/>
          <w:highlight w:val="none"/>
        </w:rPr>
        <w:t>交还给甲方，逾期应</w:t>
      </w:r>
      <w:r>
        <w:rPr>
          <w:rFonts w:hint="eastAsia" w:ascii="宋体" w:hAnsi="宋体" w:cs="宋体"/>
          <w:color w:val="auto"/>
          <w:sz w:val="24"/>
          <w:szCs w:val="24"/>
          <w:highlight w:val="none"/>
          <w:lang w:val="en-US" w:eastAsia="zh-CN"/>
        </w:rPr>
        <w:t>按届满前租金递增20%的标准向甲方支付占用费</w:t>
      </w:r>
      <w:r>
        <w:rPr>
          <w:rFonts w:hint="eastAsia" w:ascii="宋体" w:hAnsi="宋体" w:eastAsia="宋体" w:cs="宋体"/>
          <w:color w:val="auto"/>
          <w:sz w:val="24"/>
          <w:szCs w:val="24"/>
          <w:highlight w:val="none"/>
        </w:rPr>
        <w:t>。</w:t>
      </w:r>
    </w:p>
    <w:p w14:paraId="1EBF6ED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争议解决</w:t>
      </w:r>
    </w:p>
    <w:p w14:paraId="536404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本合同履行中发生争议，双方应协商解决；协商不成的，可向</w:t>
      </w:r>
      <w:r>
        <w:rPr>
          <w:rFonts w:hint="eastAsia" w:ascii="宋体" w:hAnsi="宋体" w:cs="宋体"/>
          <w:color w:val="auto"/>
          <w:sz w:val="24"/>
          <w:szCs w:val="24"/>
          <w:highlight w:val="none"/>
          <w:lang w:eastAsia="zh-CN"/>
        </w:rPr>
        <w:t>鱼塘租赁所在地</w:t>
      </w:r>
      <w:r>
        <w:rPr>
          <w:rFonts w:hint="eastAsia" w:ascii="宋体" w:hAnsi="宋体" w:eastAsia="宋体" w:cs="宋体"/>
          <w:color w:val="auto"/>
          <w:sz w:val="24"/>
          <w:szCs w:val="24"/>
          <w:highlight w:val="none"/>
          <w:lang w:eastAsia="zh-CN"/>
        </w:rPr>
        <w:t>人民法院起诉。</w:t>
      </w:r>
    </w:p>
    <w:p w14:paraId="66F5C70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其他条款</w:t>
      </w:r>
    </w:p>
    <w:p w14:paraId="12A9F0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一）本合同未尽事宜，经甲方、乙方协商一致后可签订补充协议。补充协议与本合同具有同等法律效力。</w:t>
      </w:r>
    </w:p>
    <w:p w14:paraId="777CBB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补充条款（可另附件）：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3248809C">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本合同自甲乙双方签字、盖章或者按指印之日起生效。本合同一式</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eastAsia="zh-CN"/>
        </w:rPr>
        <w:t xml:space="preserve"> </w:t>
      </w:r>
    </w:p>
    <w:p w14:paraId="52A6536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份，由甲方</w:t>
      </w:r>
      <w:r>
        <w:rPr>
          <w:rFonts w:hint="eastAsia" w:ascii="宋体" w:hAnsi="宋体" w:cs="宋体"/>
          <w:color w:val="auto"/>
          <w:sz w:val="24"/>
          <w:szCs w:val="24"/>
          <w:highlight w:val="none"/>
          <w:lang w:val="en-US" w:eastAsia="zh-CN"/>
        </w:rPr>
        <w:t>执</w:t>
      </w:r>
      <w:r>
        <w:rPr>
          <w:rFonts w:hint="eastAsia" w:ascii="宋体" w:hAnsi="宋体" w:cs="宋体"/>
          <w:color w:val="auto"/>
          <w:sz w:val="24"/>
          <w:szCs w:val="24"/>
          <w:highlight w:val="none"/>
          <w:u w:val="single"/>
          <w:lang w:val="en-US" w:eastAsia="zh-CN"/>
        </w:rPr>
        <w:t xml:space="preserve">  贰份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壹份</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上级管理部门执</w:t>
      </w:r>
      <w:r>
        <w:rPr>
          <w:rFonts w:hint="eastAsia" w:ascii="宋体" w:hAnsi="宋体" w:cs="宋体"/>
          <w:color w:val="auto"/>
          <w:sz w:val="24"/>
          <w:szCs w:val="24"/>
          <w:highlight w:val="none"/>
          <w:u w:val="single"/>
          <w:lang w:val="en-US" w:eastAsia="zh-CN"/>
        </w:rPr>
        <w:t xml:space="preserve">   壹份   </w:t>
      </w:r>
      <w:r>
        <w:rPr>
          <w:rFonts w:hint="eastAsia" w:ascii="宋体" w:hAnsi="宋体" w:eastAsia="宋体" w:cs="宋体"/>
          <w:color w:val="auto"/>
          <w:sz w:val="24"/>
          <w:szCs w:val="24"/>
          <w:highlight w:val="none"/>
          <w:lang w:eastAsia="zh-CN"/>
        </w:rPr>
        <w:t>。</w:t>
      </w:r>
    </w:p>
    <w:p w14:paraId="24FAD68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p>
    <w:p w14:paraId="70C6DE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5104E3DB">
      <w:pPr>
        <w:spacing w:before="88" w:line="224" w:lineRule="auto"/>
        <w:rPr>
          <w:rFonts w:hint="eastAsia" w:asciiTheme="majorEastAsia" w:hAnsiTheme="majorEastAsia" w:eastAsiaTheme="majorEastAsia" w:cstheme="majorEastAsia"/>
          <w:b w:val="0"/>
          <w:bCs w:val="0"/>
          <w:sz w:val="27"/>
          <w:szCs w:val="27"/>
        </w:rPr>
      </w:pPr>
      <w:r>
        <w:rPr>
          <w:rFonts w:hint="eastAsia" w:asciiTheme="majorEastAsia" w:hAnsiTheme="majorEastAsia" w:eastAsiaTheme="majorEastAsia" w:cstheme="majorEastAsia"/>
          <w:b w:val="0"/>
          <w:bCs w:val="0"/>
          <w:spacing w:val="-18"/>
          <w:sz w:val="27"/>
          <w:szCs w:val="27"/>
        </w:rPr>
        <w:t>甲方：</w:t>
      </w:r>
      <w:r>
        <w:rPr>
          <w:rFonts w:hint="eastAsia" w:asciiTheme="majorEastAsia" w:hAnsiTheme="majorEastAsia" w:eastAsiaTheme="majorEastAsia" w:cstheme="majorEastAsia"/>
          <w:b w:val="0"/>
          <w:bCs w:val="0"/>
          <w:spacing w:val="-18"/>
          <w:sz w:val="27"/>
          <w:szCs w:val="27"/>
          <w:lang w:val="en-US" w:eastAsia="zh-CN"/>
        </w:rPr>
        <w:t xml:space="preserve">                           </w:t>
      </w:r>
      <w:r>
        <w:rPr>
          <w:rFonts w:hint="eastAsia" w:asciiTheme="majorEastAsia" w:hAnsiTheme="majorEastAsia" w:eastAsiaTheme="majorEastAsia" w:cstheme="majorEastAsia"/>
          <w:b w:val="0"/>
          <w:bCs w:val="0"/>
          <w:spacing w:val="2"/>
          <w:sz w:val="27"/>
          <w:szCs w:val="27"/>
        </w:rPr>
        <w:t xml:space="preserve">          </w:t>
      </w:r>
      <w:r>
        <w:rPr>
          <w:rFonts w:hint="eastAsia" w:asciiTheme="majorEastAsia" w:hAnsiTheme="majorEastAsia" w:eastAsiaTheme="majorEastAsia" w:cstheme="majorEastAsia"/>
          <w:b w:val="0"/>
          <w:bCs w:val="0"/>
          <w:spacing w:val="-18"/>
          <w:sz w:val="27"/>
          <w:szCs w:val="27"/>
        </w:rPr>
        <w:t>乙方：</w:t>
      </w:r>
    </w:p>
    <w:p w14:paraId="18202D66">
      <w:pPr>
        <w:spacing w:line="312" w:lineRule="auto"/>
        <w:rPr>
          <w:rFonts w:hint="eastAsia" w:asciiTheme="majorEastAsia" w:hAnsiTheme="majorEastAsia" w:eastAsiaTheme="majorEastAsia" w:cstheme="majorEastAsia"/>
          <w:b w:val="0"/>
          <w:bCs w:val="0"/>
          <w:sz w:val="21"/>
        </w:rPr>
      </w:pPr>
    </w:p>
    <w:p w14:paraId="5BF7D831">
      <w:pPr>
        <w:spacing w:line="312" w:lineRule="auto"/>
        <w:rPr>
          <w:rFonts w:hint="eastAsia" w:asciiTheme="majorEastAsia" w:hAnsiTheme="majorEastAsia" w:eastAsiaTheme="majorEastAsia" w:cstheme="majorEastAsia"/>
          <w:b w:val="0"/>
          <w:bCs w:val="0"/>
          <w:sz w:val="21"/>
        </w:rPr>
      </w:pPr>
    </w:p>
    <w:p w14:paraId="047BDD3E">
      <w:pPr>
        <w:spacing w:before="78" w:line="218"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pacing w:val="-40"/>
          <w:sz w:val="24"/>
          <w:szCs w:val="24"/>
        </w:rPr>
        <w:t>法</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定</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负</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/农</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户</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人）签</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 xml:space="preserve">字：         </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法</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定</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代</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表</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0"/>
          <w:sz w:val="24"/>
          <w:szCs w:val="24"/>
        </w:rPr>
        <w:t>人（</w:t>
      </w:r>
      <w:r>
        <w:rPr>
          <w:rFonts w:hint="eastAsia" w:asciiTheme="majorEastAsia" w:hAnsiTheme="majorEastAsia" w:eastAsiaTheme="majorEastAsia" w:cstheme="majorEastAsia"/>
          <w:b w:val="0"/>
          <w:bCs w:val="0"/>
          <w:spacing w:val="-40"/>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负</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责</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人/</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农</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户</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代</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表</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人）签</w:t>
      </w:r>
      <w:r>
        <w:rPr>
          <w:rFonts w:hint="eastAsia" w:asciiTheme="majorEastAsia" w:hAnsiTheme="majorEastAsia" w:eastAsiaTheme="majorEastAsia" w:cstheme="majorEastAsia"/>
          <w:b w:val="0"/>
          <w:bCs w:val="0"/>
          <w:spacing w:val="-41"/>
          <w:sz w:val="24"/>
          <w:szCs w:val="24"/>
          <w:lang w:val="en-US" w:eastAsia="zh-CN"/>
        </w:rPr>
        <w:t xml:space="preserve"> </w:t>
      </w:r>
      <w:r>
        <w:rPr>
          <w:rFonts w:hint="eastAsia" w:asciiTheme="majorEastAsia" w:hAnsiTheme="majorEastAsia" w:eastAsiaTheme="majorEastAsia" w:cstheme="majorEastAsia"/>
          <w:b w:val="0"/>
          <w:bCs w:val="0"/>
          <w:spacing w:val="-41"/>
          <w:sz w:val="24"/>
          <w:szCs w:val="24"/>
        </w:rPr>
        <w:t>字：</w:t>
      </w:r>
    </w:p>
    <w:p w14:paraId="137EF94B">
      <w:pPr>
        <w:spacing w:line="272" w:lineRule="auto"/>
        <w:rPr>
          <w:rFonts w:hint="eastAsia" w:asciiTheme="majorEastAsia" w:hAnsiTheme="majorEastAsia" w:eastAsiaTheme="majorEastAsia" w:cstheme="majorEastAsia"/>
          <w:b w:val="0"/>
          <w:bCs w:val="0"/>
          <w:sz w:val="21"/>
        </w:rPr>
      </w:pPr>
    </w:p>
    <w:p w14:paraId="024E941B">
      <w:pPr>
        <w:spacing w:line="272" w:lineRule="auto"/>
        <w:rPr>
          <w:rFonts w:hint="eastAsia" w:asciiTheme="majorEastAsia" w:hAnsiTheme="majorEastAsia" w:eastAsiaTheme="majorEastAsia" w:cstheme="majorEastAsia"/>
          <w:b w:val="0"/>
          <w:bCs w:val="0"/>
          <w:sz w:val="21"/>
        </w:rPr>
      </w:pPr>
    </w:p>
    <w:p w14:paraId="6A53A188">
      <w:pPr>
        <w:spacing w:line="272" w:lineRule="auto"/>
        <w:rPr>
          <w:rFonts w:hint="eastAsia" w:asciiTheme="majorEastAsia" w:hAnsiTheme="majorEastAsia" w:eastAsiaTheme="majorEastAsia" w:cstheme="majorEastAsia"/>
          <w:b w:val="0"/>
          <w:bCs w:val="0"/>
          <w:sz w:val="21"/>
        </w:rPr>
      </w:pPr>
    </w:p>
    <w:p w14:paraId="6A04483D">
      <w:pPr>
        <w:spacing w:line="272" w:lineRule="auto"/>
        <w:rPr>
          <w:rFonts w:hint="eastAsia" w:asciiTheme="majorEastAsia" w:hAnsiTheme="majorEastAsia" w:eastAsiaTheme="majorEastAsia" w:cstheme="majorEastAsia"/>
          <w:b w:val="0"/>
          <w:bCs w:val="0"/>
          <w:sz w:val="21"/>
        </w:rPr>
      </w:pPr>
    </w:p>
    <w:p w14:paraId="023C66F9">
      <w:pPr>
        <w:spacing w:before="88" w:line="224" w:lineRule="auto"/>
        <w:rPr>
          <w:rFonts w:hint="eastAsia" w:asciiTheme="majorEastAsia" w:hAnsiTheme="majorEastAsia" w:eastAsiaTheme="majorEastAsia" w:cstheme="majorEastAsia"/>
          <w:b w:val="0"/>
          <w:bCs w:val="0"/>
          <w:sz w:val="27"/>
          <w:szCs w:val="27"/>
        </w:rPr>
      </w:pPr>
      <w:r>
        <w:rPr>
          <w:rFonts w:hint="eastAsia" w:asciiTheme="majorEastAsia" w:hAnsiTheme="majorEastAsia" w:eastAsiaTheme="majorEastAsia" w:cstheme="majorEastAsia"/>
          <w:b w:val="0"/>
          <w:bCs w:val="0"/>
          <w:spacing w:val="-5"/>
          <w:sz w:val="27"/>
          <w:szCs w:val="27"/>
        </w:rPr>
        <w:t>签订时间：</w:t>
      </w:r>
      <w:r>
        <w:rPr>
          <w:rFonts w:hint="eastAsia" w:asciiTheme="majorEastAsia" w:hAnsiTheme="majorEastAsia" w:eastAsiaTheme="majorEastAsia" w:cstheme="majorEastAsia"/>
          <w:b w:val="0"/>
          <w:bCs w:val="0"/>
          <w:spacing w:val="-90"/>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118"/>
          <w:sz w:val="27"/>
          <w:szCs w:val="27"/>
        </w:rPr>
        <w:t xml:space="preserve"> </w:t>
      </w:r>
      <w:r>
        <w:rPr>
          <w:rFonts w:hint="eastAsia" w:asciiTheme="majorEastAsia" w:hAnsiTheme="majorEastAsia" w:eastAsiaTheme="majorEastAsia" w:cstheme="majorEastAsia"/>
          <w:b w:val="0"/>
          <w:bCs w:val="0"/>
          <w:spacing w:val="-5"/>
          <w:sz w:val="27"/>
          <w:szCs w:val="27"/>
        </w:rPr>
        <w:t>年</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109"/>
          <w:sz w:val="27"/>
          <w:szCs w:val="27"/>
        </w:rPr>
        <w:t xml:space="preserve"> </w:t>
      </w:r>
      <w:r>
        <w:rPr>
          <w:rFonts w:hint="eastAsia" w:asciiTheme="majorEastAsia" w:hAnsiTheme="majorEastAsia" w:eastAsiaTheme="majorEastAsia" w:cstheme="majorEastAsia"/>
          <w:b w:val="0"/>
          <w:bCs w:val="0"/>
          <w:spacing w:val="-5"/>
          <w:sz w:val="27"/>
          <w:szCs w:val="27"/>
        </w:rPr>
        <w:t>月</w:t>
      </w:r>
      <w:r>
        <w:rPr>
          <w:rFonts w:hint="eastAsia" w:asciiTheme="majorEastAsia" w:hAnsiTheme="majorEastAsia" w:eastAsiaTheme="majorEastAsia" w:cstheme="majorEastAsia"/>
          <w:b w:val="0"/>
          <w:bCs w:val="0"/>
          <w:spacing w:val="-134"/>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70"/>
          <w:sz w:val="27"/>
          <w:szCs w:val="27"/>
        </w:rPr>
        <w:t xml:space="preserve"> </w:t>
      </w:r>
      <w:r>
        <w:rPr>
          <w:rFonts w:hint="eastAsia" w:asciiTheme="majorEastAsia" w:hAnsiTheme="majorEastAsia" w:eastAsiaTheme="majorEastAsia" w:cstheme="majorEastAsia"/>
          <w:b w:val="0"/>
          <w:bCs w:val="0"/>
          <w:spacing w:val="-5"/>
          <w:sz w:val="27"/>
          <w:szCs w:val="27"/>
        </w:rPr>
        <w:t>日</w:t>
      </w:r>
      <w:r>
        <w:rPr>
          <w:rFonts w:hint="eastAsia" w:asciiTheme="majorEastAsia" w:hAnsiTheme="majorEastAsia" w:eastAsiaTheme="majorEastAsia" w:cstheme="majorEastAsia"/>
          <w:b w:val="0"/>
          <w:bCs w:val="0"/>
          <w:spacing w:val="8"/>
          <w:sz w:val="27"/>
          <w:szCs w:val="27"/>
        </w:rPr>
        <w:t xml:space="preserve">      </w:t>
      </w:r>
      <w:r>
        <w:rPr>
          <w:rFonts w:hint="eastAsia" w:asciiTheme="majorEastAsia" w:hAnsiTheme="majorEastAsia" w:eastAsiaTheme="majorEastAsia" w:cstheme="majorEastAsia"/>
          <w:b w:val="0"/>
          <w:bCs w:val="0"/>
          <w:spacing w:val="8"/>
          <w:sz w:val="27"/>
          <w:szCs w:val="27"/>
          <w:lang w:val="en-US" w:eastAsia="zh-CN"/>
        </w:rPr>
        <w:t xml:space="preserve"> </w:t>
      </w:r>
      <w:r>
        <w:rPr>
          <w:rFonts w:hint="eastAsia" w:asciiTheme="majorEastAsia" w:hAnsiTheme="majorEastAsia" w:eastAsiaTheme="majorEastAsia" w:cstheme="majorEastAsia"/>
          <w:b w:val="0"/>
          <w:bCs w:val="0"/>
          <w:spacing w:val="-5"/>
          <w:sz w:val="27"/>
          <w:szCs w:val="27"/>
        </w:rPr>
        <w:t>签订时间：</w:t>
      </w:r>
      <w:r>
        <w:rPr>
          <w:rFonts w:hint="eastAsia" w:asciiTheme="majorEastAsia" w:hAnsiTheme="majorEastAsia" w:eastAsiaTheme="majorEastAsia" w:cstheme="majorEastAsia"/>
          <w:b w:val="0"/>
          <w:bCs w:val="0"/>
          <w:spacing w:val="-101"/>
          <w:sz w:val="27"/>
          <w:szCs w:val="27"/>
        </w:rPr>
        <w:t xml:space="preserve"> </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121"/>
          <w:sz w:val="27"/>
          <w:szCs w:val="27"/>
        </w:rPr>
        <w:t xml:space="preserve"> </w:t>
      </w:r>
      <w:r>
        <w:rPr>
          <w:rFonts w:hint="eastAsia" w:asciiTheme="majorEastAsia" w:hAnsiTheme="majorEastAsia" w:eastAsiaTheme="majorEastAsia" w:cstheme="majorEastAsia"/>
          <w:b w:val="0"/>
          <w:bCs w:val="0"/>
          <w:spacing w:val="-5"/>
          <w:sz w:val="27"/>
          <w:szCs w:val="27"/>
        </w:rPr>
        <w:t>年</w:t>
      </w:r>
      <w:r>
        <w:rPr>
          <w:rFonts w:hint="eastAsia" w:asciiTheme="majorEastAsia" w:hAnsiTheme="majorEastAsia" w:eastAsiaTheme="majorEastAsia" w:cstheme="majorEastAsia"/>
          <w:b w:val="0"/>
          <w:bCs w:val="0"/>
          <w:spacing w:val="-133"/>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108"/>
          <w:sz w:val="27"/>
          <w:szCs w:val="27"/>
        </w:rPr>
        <w:t xml:space="preserve"> </w:t>
      </w:r>
      <w:r>
        <w:rPr>
          <w:rFonts w:hint="eastAsia" w:asciiTheme="majorEastAsia" w:hAnsiTheme="majorEastAsia" w:eastAsiaTheme="majorEastAsia" w:cstheme="majorEastAsia"/>
          <w:b w:val="0"/>
          <w:bCs w:val="0"/>
          <w:spacing w:val="-5"/>
          <w:sz w:val="27"/>
          <w:szCs w:val="27"/>
        </w:rPr>
        <w:t>月</w:t>
      </w:r>
      <w:r>
        <w:rPr>
          <w:rFonts w:hint="eastAsia" w:asciiTheme="majorEastAsia" w:hAnsiTheme="majorEastAsia" w:eastAsiaTheme="majorEastAsia" w:cstheme="majorEastAsia"/>
          <w:b w:val="0"/>
          <w:bCs w:val="0"/>
          <w:spacing w:val="-134"/>
          <w:sz w:val="27"/>
          <w:szCs w:val="27"/>
        </w:rPr>
        <w:t xml:space="preserve"> </w:t>
      </w:r>
      <w:r>
        <w:rPr>
          <w:rFonts w:hint="eastAsia" w:asciiTheme="majorEastAsia" w:hAnsiTheme="majorEastAsia" w:eastAsiaTheme="majorEastAsia" w:cstheme="majorEastAsia"/>
          <w:b w:val="0"/>
          <w:bCs w:val="0"/>
          <w:spacing w:val="4"/>
          <w:sz w:val="27"/>
          <w:szCs w:val="27"/>
          <w:u w:val="single" w:color="auto"/>
        </w:rPr>
        <w:t xml:space="preserve">   </w:t>
      </w:r>
      <w:r>
        <w:rPr>
          <w:rFonts w:hint="eastAsia" w:asciiTheme="majorEastAsia" w:hAnsiTheme="majorEastAsia" w:eastAsiaTheme="majorEastAsia" w:cstheme="majorEastAsia"/>
          <w:b w:val="0"/>
          <w:bCs w:val="0"/>
          <w:spacing w:val="-70"/>
          <w:sz w:val="27"/>
          <w:szCs w:val="27"/>
        </w:rPr>
        <w:t xml:space="preserve"> </w:t>
      </w:r>
      <w:r>
        <w:rPr>
          <w:rFonts w:hint="eastAsia" w:asciiTheme="majorEastAsia" w:hAnsiTheme="majorEastAsia" w:eastAsiaTheme="majorEastAsia" w:cstheme="majorEastAsia"/>
          <w:b w:val="0"/>
          <w:bCs w:val="0"/>
          <w:spacing w:val="-5"/>
          <w:sz w:val="27"/>
          <w:szCs w:val="27"/>
        </w:rPr>
        <w:t>日</w:t>
      </w:r>
    </w:p>
    <w:p w14:paraId="6EB18167">
      <w:pPr>
        <w:spacing w:before="173" w:line="225" w:lineRule="auto"/>
        <w:rPr>
          <w:rFonts w:hint="eastAsia" w:asciiTheme="majorEastAsia" w:hAnsiTheme="majorEastAsia" w:eastAsiaTheme="majorEastAsia" w:cstheme="majorEastAsia"/>
          <w:b w:val="0"/>
          <w:bCs w:val="0"/>
          <w:sz w:val="27"/>
          <w:szCs w:val="27"/>
        </w:rPr>
        <w:sectPr>
          <w:footerReference r:id="rId3" w:type="default"/>
          <w:pgSz w:w="11905" w:h="16840"/>
          <w:pgMar w:top="1431" w:right="1437" w:bottom="1189" w:left="1785" w:header="0" w:footer="939" w:gutter="0"/>
          <w:pgNumType w:fmt="decimal"/>
          <w:cols w:space="720" w:num="1"/>
        </w:sectPr>
      </w:pPr>
      <w:r>
        <w:rPr>
          <w:rFonts w:hint="eastAsia" w:asciiTheme="majorEastAsia" w:hAnsiTheme="majorEastAsia" w:eastAsiaTheme="majorEastAsia" w:cstheme="majorEastAsia"/>
          <w:b w:val="0"/>
          <w:bCs w:val="0"/>
          <w:sz w:val="27"/>
          <w:szCs w:val="27"/>
        </w:rPr>
        <w:t>签订地点：</w:t>
      </w:r>
      <w:r>
        <w:rPr>
          <w:rFonts w:hint="eastAsia" w:asciiTheme="majorEastAsia" w:hAnsiTheme="majorEastAsia" w:eastAsiaTheme="majorEastAsia" w:cstheme="majorEastAsia"/>
          <w:b w:val="0"/>
          <w:bCs w:val="0"/>
          <w:spacing w:val="-106"/>
          <w:sz w:val="27"/>
          <w:szCs w:val="27"/>
        </w:rPr>
        <w:t xml:space="preserve"> </w:t>
      </w:r>
      <w:r>
        <w:rPr>
          <w:rFonts w:hint="eastAsia" w:asciiTheme="majorEastAsia" w:hAnsiTheme="majorEastAsia" w:eastAsiaTheme="majorEastAsia" w:cstheme="majorEastAsia"/>
          <w:b w:val="0"/>
          <w:bCs w:val="0"/>
          <w:spacing w:val="5"/>
          <w:sz w:val="27"/>
          <w:szCs w:val="27"/>
          <w:u w:val="single" w:color="auto"/>
        </w:rPr>
        <w:t xml:space="preserve">               </w:t>
      </w:r>
      <w:r>
        <w:rPr>
          <w:rFonts w:hint="eastAsia" w:asciiTheme="majorEastAsia" w:hAnsiTheme="majorEastAsia" w:eastAsiaTheme="majorEastAsia" w:cstheme="majorEastAsia"/>
          <w:b w:val="0"/>
          <w:bCs w:val="0"/>
          <w:spacing w:val="7"/>
          <w:sz w:val="27"/>
          <w:szCs w:val="27"/>
        </w:rPr>
        <w:t xml:space="preserve">       </w:t>
      </w:r>
      <w:r>
        <w:rPr>
          <w:rFonts w:hint="eastAsia" w:asciiTheme="majorEastAsia" w:hAnsiTheme="majorEastAsia" w:eastAsiaTheme="majorEastAsia" w:cstheme="majorEastAsia"/>
          <w:b w:val="0"/>
          <w:bCs w:val="0"/>
          <w:sz w:val="27"/>
          <w:szCs w:val="27"/>
        </w:rPr>
        <w:t>签订地点：</w:t>
      </w:r>
      <w:r>
        <w:rPr>
          <w:rFonts w:hint="eastAsia" w:asciiTheme="majorEastAsia" w:hAnsiTheme="majorEastAsia" w:eastAsiaTheme="majorEastAsia" w:cstheme="majorEastAsia"/>
          <w:b w:val="0"/>
          <w:bCs w:val="0"/>
          <w:spacing w:val="-99"/>
          <w:sz w:val="27"/>
          <w:szCs w:val="27"/>
        </w:rPr>
        <w:t xml:space="preserve"> </w:t>
      </w:r>
      <w:r>
        <w:rPr>
          <w:rFonts w:hint="eastAsia" w:asciiTheme="majorEastAsia" w:hAnsiTheme="majorEastAsia" w:eastAsiaTheme="majorEastAsia" w:cstheme="majorEastAsia"/>
          <w:b w:val="0"/>
          <w:bCs w:val="0"/>
          <w:sz w:val="27"/>
          <w:szCs w:val="27"/>
          <w:u w:val="single" w:color="auto"/>
        </w:rPr>
        <w:t xml:space="preserve">        </w:t>
      </w:r>
      <w:r>
        <w:rPr>
          <w:rFonts w:hint="eastAsia" w:asciiTheme="majorEastAsia" w:hAnsiTheme="majorEastAsia" w:eastAsiaTheme="majorEastAsia" w:cstheme="majorEastAsia"/>
          <w:b w:val="0"/>
          <w:bCs w:val="0"/>
          <w:sz w:val="27"/>
          <w:szCs w:val="27"/>
          <w:u w:val="single" w:color="auto"/>
          <w:lang w:val="en-US" w:eastAsia="zh-CN"/>
        </w:rPr>
        <w:t xml:space="preserve">  </w:t>
      </w:r>
      <w:r>
        <w:rPr>
          <w:rFonts w:hint="eastAsia" w:asciiTheme="majorEastAsia" w:hAnsiTheme="majorEastAsia" w:eastAsiaTheme="majorEastAsia" w:cstheme="majorEastAsia"/>
          <w:b w:val="0"/>
          <w:bCs w:val="0"/>
          <w:sz w:val="27"/>
          <w:szCs w:val="27"/>
          <w:u w:val="single" w:color="auto"/>
        </w:rPr>
        <w:t xml:space="preserve">       </w:t>
      </w:r>
    </w:p>
    <w:p w14:paraId="4E5E9F6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14"/>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0BD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036787C5">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1D8242C4">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4F239EE4">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432AE98E">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3AD86319">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596B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20EFA0">
            <w:pPr>
              <w:spacing w:before="213" w:line="184" w:lineRule="auto"/>
              <w:ind w:left="454"/>
              <w:jc w:val="center"/>
              <w:rPr>
                <w:rFonts w:ascii="仿宋" w:hAnsi="仿宋" w:eastAsia="仿宋" w:cs="仿宋"/>
                <w:sz w:val="27"/>
                <w:szCs w:val="27"/>
              </w:rPr>
            </w:pPr>
            <w:r>
              <w:rPr>
                <w:rFonts w:ascii="仿宋" w:hAnsi="仿宋" w:eastAsia="仿宋" w:cs="仿宋"/>
                <w:sz w:val="27"/>
                <w:szCs w:val="27"/>
              </w:rPr>
              <w:t>1</w:t>
            </w:r>
          </w:p>
        </w:tc>
        <w:tc>
          <w:tcPr>
            <w:tcW w:w="3541" w:type="dxa"/>
            <w:vAlign w:val="top"/>
          </w:tcPr>
          <w:p w14:paraId="2C313A0D">
            <w:pPr>
              <w:spacing w:before="177" w:line="223" w:lineRule="auto"/>
              <w:ind w:left="153"/>
              <w:jc w:val="center"/>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01806850">
            <w:pPr>
              <w:pStyle w:val="15"/>
              <w:jc w:val="center"/>
            </w:pPr>
          </w:p>
        </w:tc>
        <w:tc>
          <w:tcPr>
            <w:tcW w:w="1133" w:type="dxa"/>
            <w:vAlign w:val="top"/>
          </w:tcPr>
          <w:p w14:paraId="540DD142">
            <w:pPr>
              <w:pStyle w:val="15"/>
              <w:jc w:val="center"/>
            </w:pPr>
          </w:p>
        </w:tc>
        <w:tc>
          <w:tcPr>
            <w:tcW w:w="1138" w:type="dxa"/>
            <w:vAlign w:val="top"/>
          </w:tcPr>
          <w:p w14:paraId="2526FD03">
            <w:pPr>
              <w:pStyle w:val="15"/>
              <w:jc w:val="center"/>
            </w:pPr>
          </w:p>
        </w:tc>
      </w:tr>
      <w:tr w14:paraId="7E4E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1A137367">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194B9179">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w:t>
            </w:r>
            <w:r>
              <w:rPr>
                <w:rFonts w:hint="eastAsia" w:ascii="仿宋" w:hAnsi="仿宋" w:eastAsia="仿宋" w:cs="仿宋"/>
                <w:spacing w:val="4"/>
                <w:sz w:val="27"/>
                <w:szCs w:val="27"/>
                <w:lang w:val="en-US" w:eastAsia="zh-CN"/>
              </w:rPr>
              <w:t>鱼塘</w:t>
            </w:r>
            <w:r>
              <w:rPr>
                <w:rFonts w:ascii="仿宋" w:hAnsi="仿宋" w:eastAsia="仿宋" w:cs="仿宋"/>
                <w:spacing w:val="4"/>
                <w:sz w:val="27"/>
                <w:szCs w:val="27"/>
              </w:rPr>
              <w:t>的权属证明</w:t>
            </w:r>
          </w:p>
        </w:tc>
        <w:tc>
          <w:tcPr>
            <w:tcW w:w="1558" w:type="dxa"/>
            <w:vAlign w:val="top"/>
          </w:tcPr>
          <w:p w14:paraId="235C75E7">
            <w:pPr>
              <w:pStyle w:val="15"/>
              <w:jc w:val="center"/>
              <w:rPr>
                <w:rFonts w:hint="eastAsia" w:eastAsia="宋体"/>
                <w:lang w:eastAsia="zh-CN"/>
              </w:rPr>
            </w:pPr>
          </w:p>
        </w:tc>
        <w:tc>
          <w:tcPr>
            <w:tcW w:w="1133" w:type="dxa"/>
            <w:vAlign w:val="top"/>
          </w:tcPr>
          <w:p w14:paraId="243781D9">
            <w:pPr>
              <w:pStyle w:val="15"/>
            </w:pPr>
          </w:p>
        </w:tc>
        <w:tc>
          <w:tcPr>
            <w:tcW w:w="1138" w:type="dxa"/>
            <w:vAlign w:val="top"/>
          </w:tcPr>
          <w:p w14:paraId="5930199D">
            <w:pPr>
              <w:pStyle w:val="15"/>
            </w:pPr>
          </w:p>
        </w:tc>
      </w:tr>
      <w:tr w14:paraId="326C9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8C7E25B">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06EB5E46">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w:t>
            </w:r>
            <w:r>
              <w:rPr>
                <w:rFonts w:hint="eastAsia" w:ascii="仿宋" w:hAnsi="仿宋" w:eastAsia="仿宋" w:cs="仿宋"/>
                <w:spacing w:val="5"/>
                <w:sz w:val="27"/>
                <w:szCs w:val="27"/>
                <w:lang w:val="en-US" w:eastAsia="zh-CN"/>
              </w:rPr>
              <w:t>鱼塘</w:t>
            </w:r>
            <w:r>
              <w:rPr>
                <w:rFonts w:ascii="仿宋" w:hAnsi="仿宋" w:eastAsia="仿宋" w:cs="仿宋"/>
                <w:spacing w:val="5"/>
                <w:sz w:val="27"/>
                <w:szCs w:val="27"/>
              </w:rPr>
              <w:t>四至范围附图</w:t>
            </w:r>
          </w:p>
        </w:tc>
        <w:tc>
          <w:tcPr>
            <w:tcW w:w="1558" w:type="dxa"/>
            <w:vAlign w:val="top"/>
          </w:tcPr>
          <w:p w14:paraId="1AFAAC3E">
            <w:pPr>
              <w:pStyle w:val="15"/>
              <w:jc w:val="center"/>
            </w:pPr>
          </w:p>
        </w:tc>
        <w:tc>
          <w:tcPr>
            <w:tcW w:w="1133" w:type="dxa"/>
            <w:vAlign w:val="top"/>
          </w:tcPr>
          <w:p w14:paraId="346B90D2">
            <w:pPr>
              <w:pStyle w:val="15"/>
            </w:pPr>
          </w:p>
        </w:tc>
        <w:tc>
          <w:tcPr>
            <w:tcW w:w="1138" w:type="dxa"/>
            <w:vAlign w:val="top"/>
          </w:tcPr>
          <w:p w14:paraId="4A3426F0">
            <w:pPr>
              <w:pStyle w:val="15"/>
            </w:pPr>
          </w:p>
        </w:tc>
      </w:tr>
      <w:tr w14:paraId="275A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63A5011E">
            <w:pPr>
              <w:pStyle w:val="15"/>
              <w:spacing w:line="300" w:lineRule="auto"/>
            </w:pPr>
          </w:p>
          <w:p w14:paraId="1DE19446">
            <w:pPr>
              <w:pStyle w:val="15"/>
              <w:spacing w:line="300" w:lineRule="auto"/>
            </w:pPr>
          </w:p>
          <w:p w14:paraId="777A1F53">
            <w:pPr>
              <w:pStyle w:val="15"/>
              <w:spacing w:line="301" w:lineRule="auto"/>
            </w:pPr>
          </w:p>
          <w:p w14:paraId="69DADAAB">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4BB9EF85">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701B73EC">
            <w:pPr>
              <w:pStyle w:val="15"/>
              <w:jc w:val="center"/>
            </w:pPr>
          </w:p>
        </w:tc>
        <w:tc>
          <w:tcPr>
            <w:tcW w:w="1133" w:type="dxa"/>
            <w:vAlign w:val="top"/>
          </w:tcPr>
          <w:p w14:paraId="25674EC0">
            <w:pPr>
              <w:pStyle w:val="15"/>
            </w:pPr>
          </w:p>
        </w:tc>
        <w:tc>
          <w:tcPr>
            <w:tcW w:w="1138" w:type="dxa"/>
            <w:vAlign w:val="top"/>
          </w:tcPr>
          <w:p w14:paraId="0C616E42">
            <w:pPr>
              <w:pStyle w:val="15"/>
            </w:pPr>
          </w:p>
        </w:tc>
      </w:tr>
      <w:tr w14:paraId="0E1D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707B9B">
            <w:pPr>
              <w:pStyle w:val="15"/>
            </w:pPr>
          </w:p>
        </w:tc>
        <w:tc>
          <w:tcPr>
            <w:tcW w:w="3541" w:type="dxa"/>
            <w:vAlign w:val="top"/>
          </w:tcPr>
          <w:p w14:paraId="4F75324E">
            <w:pPr>
              <w:pStyle w:val="15"/>
            </w:pPr>
          </w:p>
        </w:tc>
        <w:tc>
          <w:tcPr>
            <w:tcW w:w="1558" w:type="dxa"/>
            <w:vAlign w:val="top"/>
          </w:tcPr>
          <w:p w14:paraId="263B914B">
            <w:pPr>
              <w:pStyle w:val="15"/>
            </w:pPr>
          </w:p>
        </w:tc>
        <w:tc>
          <w:tcPr>
            <w:tcW w:w="1133" w:type="dxa"/>
            <w:vAlign w:val="top"/>
          </w:tcPr>
          <w:p w14:paraId="4BBD18BF">
            <w:pPr>
              <w:pStyle w:val="15"/>
            </w:pPr>
          </w:p>
        </w:tc>
        <w:tc>
          <w:tcPr>
            <w:tcW w:w="1138" w:type="dxa"/>
            <w:vAlign w:val="top"/>
          </w:tcPr>
          <w:p w14:paraId="4DC84B04">
            <w:pPr>
              <w:pStyle w:val="15"/>
            </w:pPr>
          </w:p>
        </w:tc>
      </w:tr>
      <w:tr w14:paraId="2B7A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6319654">
            <w:pPr>
              <w:pStyle w:val="15"/>
            </w:pPr>
          </w:p>
        </w:tc>
        <w:tc>
          <w:tcPr>
            <w:tcW w:w="3541" w:type="dxa"/>
            <w:vAlign w:val="top"/>
          </w:tcPr>
          <w:p w14:paraId="6C63D88E">
            <w:pPr>
              <w:pStyle w:val="15"/>
            </w:pPr>
          </w:p>
        </w:tc>
        <w:tc>
          <w:tcPr>
            <w:tcW w:w="1558" w:type="dxa"/>
            <w:vAlign w:val="top"/>
          </w:tcPr>
          <w:p w14:paraId="1FC620BD">
            <w:pPr>
              <w:pStyle w:val="15"/>
            </w:pPr>
          </w:p>
        </w:tc>
        <w:tc>
          <w:tcPr>
            <w:tcW w:w="1133" w:type="dxa"/>
            <w:vAlign w:val="top"/>
          </w:tcPr>
          <w:p w14:paraId="120E4434">
            <w:pPr>
              <w:pStyle w:val="15"/>
            </w:pPr>
          </w:p>
        </w:tc>
        <w:tc>
          <w:tcPr>
            <w:tcW w:w="1138" w:type="dxa"/>
            <w:vAlign w:val="top"/>
          </w:tcPr>
          <w:p w14:paraId="4737530E">
            <w:pPr>
              <w:pStyle w:val="15"/>
            </w:pPr>
          </w:p>
        </w:tc>
      </w:tr>
      <w:tr w14:paraId="4B7A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34135E8">
            <w:pPr>
              <w:pStyle w:val="15"/>
            </w:pPr>
          </w:p>
        </w:tc>
        <w:tc>
          <w:tcPr>
            <w:tcW w:w="3541" w:type="dxa"/>
            <w:vAlign w:val="top"/>
          </w:tcPr>
          <w:p w14:paraId="5F56FF49">
            <w:pPr>
              <w:pStyle w:val="15"/>
            </w:pPr>
          </w:p>
        </w:tc>
        <w:tc>
          <w:tcPr>
            <w:tcW w:w="1558" w:type="dxa"/>
            <w:vAlign w:val="top"/>
          </w:tcPr>
          <w:p w14:paraId="02A03750">
            <w:pPr>
              <w:pStyle w:val="15"/>
            </w:pPr>
          </w:p>
        </w:tc>
        <w:tc>
          <w:tcPr>
            <w:tcW w:w="1133" w:type="dxa"/>
            <w:vAlign w:val="top"/>
          </w:tcPr>
          <w:p w14:paraId="1F9E4644">
            <w:pPr>
              <w:pStyle w:val="15"/>
            </w:pPr>
          </w:p>
        </w:tc>
        <w:tc>
          <w:tcPr>
            <w:tcW w:w="1138" w:type="dxa"/>
            <w:vAlign w:val="top"/>
          </w:tcPr>
          <w:p w14:paraId="7FFE45E9">
            <w:pPr>
              <w:pStyle w:val="15"/>
            </w:pPr>
          </w:p>
        </w:tc>
      </w:tr>
      <w:tr w14:paraId="56E5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28983B0">
            <w:pPr>
              <w:pStyle w:val="15"/>
            </w:pPr>
          </w:p>
        </w:tc>
        <w:tc>
          <w:tcPr>
            <w:tcW w:w="3541" w:type="dxa"/>
            <w:vAlign w:val="top"/>
          </w:tcPr>
          <w:p w14:paraId="413AA935">
            <w:pPr>
              <w:pStyle w:val="15"/>
            </w:pPr>
          </w:p>
        </w:tc>
        <w:tc>
          <w:tcPr>
            <w:tcW w:w="1558" w:type="dxa"/>
            <w:vAlign w:val="top"/>
          </w:tcPr>
          <w:p w14:paraId="09FDF379">
            <w:pPr>
              <w:pStyle w:val="15"/>
            </w:pPr>
          </w:p>
        </w:tc>
        <w:tc>
          <w:tcPr>
            <w:tcW w:w="1133" w:type="dxa"/>
            <w:vAlign w:val="top"/>
          </w:tcPr>
          <w:p w14:paraId="35148168">
            <w:pPr>
              <w:pStyle w:val="15"/>
            </w:pPr>
          </w:p>
        </w:tc>
        <w:tc>
          <w:tcPr>
            <w:tcW w:w="1138" w:type="dxa"/>
            <w:vAlign w:val="top"/>
          </w:tcPr>
          <w:p w14:paraId="22287077">
            <w:pPr>
              <w:pStyle w:val="15"/>
            </w:pPr>
          </w:p>
        </w:tc>
      </w:tr>
      <w:tr w14:paraId="7E5A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F78B35B">
            <w:pPr>
              <w:pStyle w:val="15"/>
            </w:pPr>
          </w:p>
        </w:tc>
        <w:tc>
          <w:tcPr>
            <w:tcW w:w="3541" w:type="dxa"/>
            <w:vAlign w:val="top"/>
          </w:tcPr>
          <w:p w14:paraId="55E77876">
            <w:pPr>
              <w:pStyle w:val="15"/>
            </w:pPr>
          </w:p>
        </w:tc>
        <w:tc>
          <w:tcPr>
            <w:tcW w:w="1558" w:type="dxa"/>
            <w:vAlign w:val="top"/>
          </w:tcPr>
          <w:p w14:paraId="5A355307">
            <w:pPr>
              <w:pStyle w:val="15"/>
            </w:pPr>
          </w:p>
        </w:tc>
        <w:tc>
          <w:tcPr>
            <w:tcW w:w="1133" w:type="dxa"/>
            <w:vAlign w:val="top"/>
          </w:tcPr>
          <w:p w14:paraId="285FF5E8">
            <w:pPr>
              <w:pStyle w:val="15"/>
            </w:pPr>
          </w:p>
        </w:tc>
        <w:tc>
          <w:tcPr>
            <w:tcW w:w="1138" w:type="dxa"/>
            <w:vAlign w:val="top"/>
          </w:tcPr>
          <w:p w14:paraId="76A2F6A6">
            <w:pPr>
              <w:pStyle w:val="15"/>
            </w:pPr>
          </w:p>
        </w:tc>
      </w:tr>
      <w:tr w14:paraId="0AEF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952AE6A">
            <w:pPr>
              <w:pStyle w:val="15"/>
            </w:pPr>
          </w:p>
        </w:tc>
        <w:tc>
          <w:tcPr>
            <w:tcW w:w="3541" w:type="dxa"/>
            <w:vAlign w:val="top"/>
          </w:tcPr>
          <w:p w14:paraId="37E5E5CD">
            <w:pPr>
              <w:pStyle w:val="15"/>
            </w:pPr>
          </w:p>
        </w:tc>
        <w:tc>
          <w:tcPr>
            <w:tcW w:w="1558" w:type="dxa"/>
            <w:vAlign w:val="top"/>
          </w:tcPr>
          <w:p w14:paraId="1B8846D5">
            <w:pPr>
              <w:pStyle w:val="15"/>
            </w:pPr>
          </w:p>
        </w:tc>
        <w:tc>
          <w:tcPr>
            <w:tcW w:w="1133" w:type="dxa"/>
            <w:vAlign w:val="top"/>
          </w:tcPr>
          <w:p w14:paraId="03051BD8">
            <w:pPr>
              <w:pStyle w:val="15"/>
            </w:pPr>
          </w:p>
        </w:tc>
        <w:tc>
          <w:tcPr>
            <w:tcW w:w="1138" w:type="dxa"/>
            <w:vAlign w:val="top"/>
          </w:tcPr>
          <w:p w14:paraId="4B7AF1E9">
            <w:pPr>
              <w:pStyle w:val="15"/>
            </w:pPr>
          </w:p>
        </w:tc>
      </w:tr>
      <w:tr w14:paraId="1974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BD4A0FD">
            <w:pPr>
              <w:pStyle w:val="15"/>
            </w:pPr>
          </w:p>
        </w:tc>
        <w:tc>
          <w:tcPr>
            <w:tcW w:w="3541" w:type="dxa"/>
            <w:vAlign w:val="top"/>
          </w:tcPr>
          <w:p w14:paraId="0A9AD1AC">
            <w:pPr>
              <w:pStyle w:val="15"/>
            </w:pPr>
          </w:p>
        </w:tc>
        <w:tc>
          <w:tcPr>
            <w:tcW w:w="1558" w:type="dxa"/>
            <w:vAlign w:val="top"/>
          </w:tcPr>
          <w:p w14:paraId="73FDD602">
            <w:pPr>
              <w:pStyle w:val="15"/>
            </w:pPr>
          </w:p>
        </w:tc>
        <w:tc>
          <w:tcPr>
            <w:tcW w:w="1133" w:type="dxa"/>
            <w:vAlign w:val="top"/>
          </w:tcPr>
          <w:p w14:paraId="5B686908">
            <w:pPr>
              <w:pStyle w:val="15"/>
            </w:pPr>
          </w:p>
        </w:tc>
        <w:tc>
          <w:tcPr>
            <w:tcW w:w="1138" w:type="dxa"/>
            <w:vAlign w:val="top"/>
          </w:tcPr>
          <w:p w14:paraId="5FC653A4">
            <w:pPr>
              <w:pStyle w:val="15"/>
            </w:pPr>
          </w:p>
        </w:tc>
      </w:tr>
      <w:tr w14:paraId="4978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C7316B5">
            <w:pPr>
              <w:pStyle w:val="15"/>
            </w:pPr>
          </w:p>
        </w:tc>
        <w:tc>
          <w:tcPr>
            <w:tcW w:w="3541" w:type="dxa"/>
            <w:vAlign w:val="top"/>
          </w:tcPr>
          <w:p w14:paraId="7F3D45EA">
            <w:pPr>
              <w:pStyle w:val="15"/>
            </w:pPr>
          </w:p>
        </w:tc>
        <w:tc>
          <w:tcPr>
            <w:tcW w:w="1558" w:type="dxa"/>
            <w:vAlign w:val="top"/>
          </w:tcPr>
          <w:p w14:paraId="4C4E25C6">
            <w:pPr>
              <w:pStyle w:val="15"/>
            </w:pPr>
          </w:p>
        </w:tc>
        <w:tc>
          <w:tcPr>
            <w:tcW w:w="1133" w:type="dxa"/>
            <w:vAlign w:val="top"/>
          </w:tcPr>
          <w:p w14:paraId="39626748">
            <w:pPr>
              <w:pStyle w:val="15"/>
            </w:pPr>
          </w:p>
        </w:tc>
        <w:tc>
          <w:tcPr>
            <w:tcW w:w="1138" w:type="dxa"/>
            <w:vAlign w:val="top"/>
          </w:tcPr>
          <w:p w14:paraId="15A84F68">
            <w:pPr>
              <w:pStyle w:val="15"/>
            </w:pPr>
          </w:p>
        </w:tc>
      </w:tr>
      <w:tr w14:paraId="0B10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E4F511F">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1AE3E370">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4B08764C">
      <w:pPr>
        <w:rPr>
          <w:b/>
          <w:bCs/>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613A">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8319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F8319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5186"/>
    <w:multiLevelType w:val="singleLevel"/>
    <w:tmpl w:val="F1715186"/>
    <w:lvl w:ilvl="0" w:tentative="0">
      <w:start w:val="2"/>
      <w:numFmt w:val="chineseCounting"/>
      <w:suff w:val="nothing"/>
      <w:lvlText w:val="（%1）"/>
      <w:lvlJc w:val="left"/>
      <w:rPr>
        <w:rFonts w:hint="eastAsia"/>
      </w:rPr>
    </w:lvl>
  </w:abstractNum>
  <w:abstractNum w:abstractNumId="1">
    <w:nsid w:val="1A97D30B"/>
    <w:multiLevelType w:val="singleLevel"/>
    <w:tmpl w:val="1A97D30B"/>
    <w:lvl w:ilvl="0" w:tentative="0">
      <w:start w:val="1"/>
      <w:numFmt w:val="decimal"/>
      <w:suff w:val="space"/>
      <w:lvlText w:val="%1."/>
      <w:lvlJc w:val="left"/>
    </w:lvl>
  </w:abstractNum>
  <w:abstractNum w:abstractNumId="2">
    <w:nsid w:val="4D5196D7"/>
    <w:multiLevelType w:val="singleLevel"/>
    <w:tmpl w:val="4D5196D7"/>
    <w:lvl w:ilvl="0" w:tentative="0">
      <w:start w:val="4"/>
      <w:numFmt w:val="decimal"/>
      <w:lvlText w:val="%1."/>
      <w:lvlJc w:val="left"/>
      <w:pPr>
        <w:tabs>
          <w:tab w:val="left" w:pos="312"/>
        </w:tabs>
      </w:pPr>
    </w:lvl>
  </w:abstractNum>
  <w:abstractNum w:abstractNumId="3">
    <w:nsid w:val="64DD5288"/>
    <w:multiLevelType w:val="singleLevel"/>
    <w:tmpl w:val="64DD5288"/>
    <w:lvl w:ilvl="0" w:tentative="0">
      <w:start w:val="5"/>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GQ1ZTIyZjQ0ZTdlZDYwYmFiMTVhMDY5M2M5MjcifQ=="/>
  </w:docVars>
  <w:rsids>
    <w:rsidRoot w:val="6B910ACF"/>
    <w:rsid w:val="01D8553A"/>
    <w:rsid w:val="02E960E8"/>
    <w:rsid w:val="0339391A"/>
    <w:rsid w:val="06737E72"/>
    <w:rsid w:val="0BE55D9A"/>
    <w:rsid w:val="0DAD60A0"/>
    <w:rsid w:val="0E697DF0"/>
    <w:rsid w:val="107439CE"/>
    <w:rsid w:val="12605024"/>
    <w:rsid w:val="129967A1"/>
    <w:rsid w:val="149F5803"/>
    <w:rsid w:val="15A66378"/>
    <w:rsid w:val="16BE7DBA"/>
    <w:rsid w:val="20D34C23"/>
    <w:rsid w:val="2E0B6A26"/>
    <w:rsid w:val="300E1D8D"/>
    <w:rsid w:val="369542F7"/>
    <w:rsid w:val="3BE03221"/>
    <w:rsid w:val="3C174A48"/>
    <w:rsid w:val="3C1A63F8"/>
    <w:rsid w:val="3F240D18"/>
    <w:rsid w:val="3F584BCF"/>
    <w:rsid w:val="3FA84403"/>
    <w:rsid w:val="3FC27A03"/>
    <w:rsid w:val="43436F59"/>
    <w:rsid w:val="43835F63"/>
    <w:rsid w:val="45CC5F92"/>
    <w:rsid w:val="462C1758"/>
    <w:rsid w:val="480D3F42"/>
    <w:rsid w:val="48295388"/>
    <w:rsid w:val="488677DE"/>
    <w:rsid w:val="48883122"/>
    <w:rsid w:val="48B16176"/>
    <w:rsid w:val="4CDD12A8"/>
    <w:rsid w:val="4E5F553F"/>
    <w:rsid w:val="4FC926E8"/>
    <w:rsid w:val="516330CE"/>
    <w:rsid w:val="5188681D"/>
    <w:rsid w:val="51EA1D9C"/>
    <w:rsid w:val="52B4142D"/>
    <w:rsid w:val="558B3BB9"/>
    <w:rsid w:val="55AF3AB7"/>
    <w:rsid w:val="57677E11"/>
    <w:rsid w:val="59620A61"/>
    <w:rsid w:val="5D690D59"/>
    <w:rsid w:val="5E396B7B"/>
    <w:rsid w:val="5EBF3633"/>
    <w:rsid w:val="5FF92B75"/>
    <w:rsid w:val="615D6EDF"/>
    <w:rsid w:val="647911E5"/>
    <w:rsid w:val="67047CDA"/>
    <w:rsid w:val="69BA51D3"/>
    <w:rsid w:val="69C9510B"/>
    <w:rsid w:val="6A81562A"/>
    <w:rsid w:val="6B910ACF"/>
    <w:rsid w:val="6C264CF2"/>
    <w:rsid w:val="758F4B6F"/>
    <w:rsid w:val="765A164B"/>
    <w:rsid w:val="78EF290F"/>
    <w:rsid w:val="7D2335A6"/>
    <w:rsid w:val="7D44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Strong"/>
    <w:basedOn w:val="11"/>
    <w:qFormat/>
    <w:uiPriority w:val="0"/>
    <w:rPr>
      <w:b/>
    </w:rPr>
  </w:style>
  <w:style w:type="character" w:customStyle="1" w:styleId="13">
    <w:name w:val="标题 4 Char"/>
    <w:link w:val="4"/>
    <w:autoRedefine/>
    <w:qFormat/>
    <w:uiPriority w:val="0"/>
    <w:rPr>
      <w:rFonts w:ascii="Arial" w:hAnsi="Arial" w:eastAsia="黑体"/>
      <w:b/>
      <w:sz w:val="28"/>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autoRedefine/>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3352</Words>
  <Characters>3504</Characters>
  <Lines>0</Lines>
  <Paragraphs>0</Paragraphs>
  <TotalTime>15</TotalTime>
  <ScaleCrop>false</ScaleCrop>
  <LinksUpToDate>false</LinksUpToDate>
  <CharactersWithSpaces>4530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香水湾1號文小蝶18289697995</cp:lastModifiedBy>
  <cp:lastPrinted>2025-11-21T05:17:00Z</cp:lastPrinted>
  <dcterms:modified xsi:type="dcterms:W3CDTF">2025-11-26T12:59:02Z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64BD51CFFAD7440DA395E43280D33276_13</vt:lpwstr>
  </property>
  <property fmtid="{D5CDD505-2E9C-101B-9397-08002B2CF9AE}" pid="4" name="KSOTemplateDocerSaveRecord">
    <vt:lpwstr>eyJoZGlkIjoiZjNkMzU1OTE0ZDc2NmQwMzQ3NGY5YmE0ZTg2NWM2ZWEiLCJ1c2VySWQiOiIxMTU5NDczNTczIn0=</vt:lpwstr>
  </property>
</Properties>
</file>