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AF6D7">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lang w:eastAsia="zh-CN"/>
        </w:rPr>
        <w:t>（本页无需打印）</w:t>
      </w:r>
      <w:r>
        <w:rPr>
          <w:rFonts w:hint="eastAsia" w:ascii="仿宋_GB2312" w:hAnsi="仿宋_GB2312" w:eastAsia="仿宋_GB2312" w:cs="仿宋_GB2312"/>
          <w:b/>
          <w:bCs/>
          <w:color w:val="FF0000"/>
          <w:sz w:val="30"/>
          <w:szCs w:val="30"/>
        </w:rPr>
        <w:t>需用户提供对应身份的材料复印件即可。</w:t>
      </w:r>
    </w:p>
    <w:p w14:paraId="1B2E3348">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627FAA6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04FFB0B">
      <w:pPr>
        <w:pStyle w:val="5"/>
        <w:ind w:firstLine="0"/>
        <w:jc w:val="left"/>
        <w:rPr>
          <w:rFonts w:ascii="仿宋_GB2312" w:hAnsi="仿宋_GB2312" w:eastAsia="仿宋_GB2312" w:cs="仿宋_GB2312"/>
          <w:color w:val="000000"/>
          <w:sz w:val="30"/>
          <w:szCs w:val="30"/>
        </w:rPr>
      </w:pPr>
    </w:p>
    <w:p w14:paraId="7E147DD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0EFDEA5A">
      <w:pPr>
        <w:pStyle w:val="5"/>
        <w:ind w:firstLine="0"/>
        <w:jc w:val="left"/>
        <w:rPr>
          <w:rFonts w:ascii="仿宋_GB2312" w:hAnsi="仿宋_GB2312" w:eastAsia="仿宋_GB2312" w:cs="仿宋_GB2312"/>
          <w:color w:val="000000"/>
          <w:sz w:val="30"/>
          <w:szCs w:val="30"/>
        </w:rPr>
      </w:pPr>
    </w:p>
    <w:p w14:paraId="50AE3F2E">
      <w:pPr>
        <w:pStyle w:val="5"/>
        <w:jc w:val="left"/>
        <w:rPr>
          <w:rFonts w:ascii="仿宋_GB2312" w:hAnsi="仿宋_GB2312" w:eastAsia="仿宋_GB2312" w:cs="仿宋_GB2312"/>
          <w:color w:val="000000"/>
          <w:sz w:val="30"/>
          <w:szCs w:val="30"/>
        </w:rPr>
      </w:pPr>
    </w:p>
    <w:p w14:paraId="36A3E45A">
      <w:pPr>
        <w:pStyle w:val="5"/>
        <w:jc w:val="left"/>
        <w:rPr>
          <w:rFonts w:ascii="仿宋_GB2312" w:hAnsi="仿宋_GB2312" w:eastAsia="仿宋_GB2312" w:cs="仿宋_GB2312"/>
          <w:color w:val="000000"/>
          <w:sz w:val="30"/>
          <w:szCs w:val="30"/>
        </w:rPr>
      </w:pPr>
    </w:p>
    <w:p w14:paraId="5C92B2A2">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8FF1DBF">
      <w:pPr>
        <w:pStyle w:val="5"/>
        <w:ind w:firstLine="0"/>
        <w:jc w:val="left"/>
        <w:rPr>
          <w:rFonts w:ascii="仿宋_GB2312" w:hAnsi="仿宋_GB2312" w:eastAsia="仿宋_GB2312" w:cs="仿宋_GB2312"/>
          <w:color w:val="000000"/>
          <w:sz w:val="30"/>
          <w:szCs w:val="30"/>
        </w:rPr>
      </w:pPr>
    </w:p>
    <w:p w14:paraId="02645DF2">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D1E72FC">
      <w:pPr>
        <w:pStyle w:val="5"/>
        <w:jc w:val="left"/>
        <w:rPr>
          <w:rFonts w:ascii="仿宋_GB2312" w:hAnsi="仿宋_GB2312" w:eastAsia="仿宋_GB2312" w:cs="仿宋_GB2312"/>
          <w:color w:val="000000"/>
          <w:sz w:val="30"/>
          <w:szCs w:val="30"/>
        </w:rPr>
      </w:pPr>
    </w:p>
    <w:p w14:paraId="67FFB446">
      <w:pPr>
        <w:pStyle w:val="5"/>
        <w:jc w:val="left"/>
        <w:rPr>
          <w:rFonts w:ascii="仿宋_GB2312" w:hAnsi="仿宋_GB2312" w:eastAsia="仿宋_GB2312" w:cs="仿宋_GB2312"/>
          <w:color w:val="000000"/>
          <w:sz w:val="30"/>
          <w:szCs w:val="30"/>
        </w:rPr>
      </w:pPr>
    </w:p>
    <w:p w14:paraId="4766ED64">
      <w:pPr>
        <w:pStyle w:val="5"/>
        <w:jc w:val="left"/>
        <w:rPr>
          <w:rFonts w:ascii="仿宋_GB2312" w:hAnsi="仿宋_GB2312" w:eastAsia="仿宋_GB2312" w:cs="仿宋_GB2312"/>
          <w:color w:val="000000"/>
          <w:sz w:val="30"/>
          <w:szCs w:val="30"/>
        </w:rPr>
      </w:pPr>
    </w:p>
    <w:p w14:paraId="5DACBA8E">
      <w:pPr>
        <w:pStyle w:val="5"/>
        <w:jc w:val="left"/>
        <w:rPr>
          <w:rFonts w:ascii="仿宋_GB2312" w:hAnsi="仿宋_GB2312" w:eastAsia="仿宋_GB2312" w:cs="仿宋_GB2312"/>
          <w:color w:val="000000"/>
          <w:sz w:val="30"/>
          <w:szCs w:val="30"/>
        </w:rPr>
      </w:pPr>
    </w:p>
    <w:p w14:paraId="276F8B2D">
      <w:pPr>
        <w:pStyle w:val="5"/>
        <w:jc w:val="left"/>
        <w:rPr>
          <w:rFonts w:ascii="仿宋_GB2312" w:hAnsi="仿宋_GB2312" w:eastAsia="仿宋_GB2312" w:cs="仿宋_GB2312"/>
          <w:color w:val="000000"/>
          <w:sz w:val="30"/>
          <w:szCs w:val="30"/>
        </w:rPr>
      </w:pPr>
    </w:p>
    <w:p w14:paraId="2750AF14">
      <w:pPr>
        <w:pStyle w:val="5"/>
        <w:jc w:val="left"/>
        <w:rPr>
          <w:rFonts w:ascii="仿宋_GB2312" w:hAnsi="仿宋_GB2312" w:eastAsia="仿宋_GB2312" w:cs="仿宋_GB2312"/>
          <w:color w:val="000000"/>
          <w:sz w:val="30"/>
          <w:szCs w:val="30"/>
        </w:rPr>
      </w:pPr>
    </w:p>
    <w:p w14:paraId="0F9C63F0">
      <w:pPr>
        <w:pStyle w:val="5"/>
        <w:jc w:val="left"/>
        <w:rPr>
          <w:rFonts w:ascii="仿宋_GB2312" w:hAnsi="仿宋_GB2312" w:eastAsia="仿宋_GB2312" w:cs="仿宋_GB2312"/>
          <w:color w:val="000000"/>
          <w:sz w:val="30"/>
          <w:szCs w:val="30"/>
        </w:rPr>
      </w:pPr>
    </w:p>
    <w:p w14:paraId="20974FFF">
      <w:pPr>
        <w:pStyle w:val="5"/>
        <w:jc w:val="left"/>
        <w:rPr>
          <w:rFonts w:ascii="仿宋_GB2312" w:hAnsi="仿宋_GB2312" w:eastAsia="仿宋_GB2312" w:cs="仿宋_GB2312"/>
          <w:color w:val="000000"/>
          <w:sz w:val="30"/>
          <w:szCs w:val="30"/>
        </w:rPr>
      </w:pPr>
    </w:p>
    <w:p w14:paraId="4D9F11D6">
      <w:pPr>
        <w:jc w:val="left"/>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5D97B41">
      <w:pPr>
        <w:pStyle w:val="3"/>
        <w:spacing w:line="240" w:lineRule="auto"/>
        <w:rPr>
          <w:rFonts w:ascii="黑体" w:hAnsi="黑体"/>
          <w:color w:val="000000"/>
        </w:rPr>
      </w:pPr>
      <w:bookmarkStart w:id="1" w:name="_Toc21422"/>
      <w:bookmarkStart w:id="2" w:name="_Toc20910"/>
      <w:bookmarkStart w:id="3" w:name="_Toc24454"/>
      <w:bookmarkStart w:id="4" w:name="_Toc11918"/>
      <w:bookmarkStart w:id="5" w:name="_Toc32320"/>
      <w:bookmarkStart w:id="6" w:name="_Toc15737"/>
      <w:bookmarkStart w:id="7" w:name="_Toc21762"/>
      <w:bookmarkStart w:id="8" w:name="_Toc25712"/>
      <w:bookmarkStart w:id="9" w:name="_Toc7615"/>
      <w:bookmarkStart w:id="10" w:name="_Toc24068"/>
      <w:bookmarkStart w:id="11" w:name="_Toc24727"/>
      <w:bookmarkStart w:id="12" w:name="_Toc13462"/>
      <w:bookmarkStart w:id="13" w:name="_Toc12789"/>
      <w:bookmarkStart w:id="14" w:name="_Toc8396"/>
      <w:bookmarkStart w:id="15" w:name="_Toc20033"/>
      <w:bookmarkStart w:id="16" w:name="_Toc29002"/>
      <w:r>
        <w:rPr>
          <w:rFonts w:hint="eastAsia" w:ascii="黑体" w:hAnsi="黑体"/>
          <w:color w:val="000000"/>
        </w:rPr>
        <w:t>网络竞价须知</w:t>
      </w:r>
      <w:bookmarkEnd w:id="1"/>
      <w:bookmarkEnd w:id="2"/>
      <w:bookmarkEnd w:id="3"/>
      <w:bookmarkEnd w:id="4"/>
      <w:bookmarkEnd w:id="5"/>
      <w:bookmarkEnd w:id="6"/>
      <w:bookmarkEnd w:id="7"/>
    </w:p>
    <w:p w14:paraId="0B9E10BF">
      <w:pPr>
        <w:numPr>
          <w:ilvl w:val="0"/>
          <w:numId w:val="0"/>
        </w:numPr>
        <w:spacing w:line="520" w:lineRule="exact"/>
        <w:ind w:firstLine="562" w:firstLineChars="200"/>
        <w:rPr>
          <w:rFonts w:ascii="新宋体" w:hAnsi="新宋体" w:eastAsia="新宋体"/>
          <w:sz w:val="28"/>
          <w:szCs w:val="28"/>
        </w:rPr>
      </w:pPr>
      <w:r>
        <w:rPr>
          <w:rFonts w:hint="eastAsia" w:ascii="新宋体" w:hAnsi="新宋体" w:eastAsia="新宋体"/>
          <w:b/>
          <w:bCs/>
          <w:sz w:val="28"/>
          <w:szCs w:val="28"/>
          <w:u w:val="none"/>
          <w:lang w:val="en-US" w:eastAsia="zh-CN"/>
        </w:rPr>
        <w:t xml:space="preserve">一、 </w:t>
      </w:r>
      <w:r>
        <w:rPr>
          <w:rFonts w:hint="eastAsia" w:ascii="新宋体" w:hAnsi="新宋体" w:eastAsia="新宋体"/>
          <w:b/>
          <w:bCs/>
          <w:sz w:val="28"/>
          <w:szCs w:val="28"/>
          <w:u w:val="single"/>
          <w:lang w:val="en-US" w:eastAsia="zh-CN"/>
        </w:rPr>
        <w:t>万城镇红山村委会后山岭0.18亩土地出租项目</w:t>
      </w:r>
      <w:r>
        <w:rPr>
          <w:rFonts w:hint="eastAsia" w:ascii="新宋体" w:hAnsi="新宋体" w:eastAsia="新宋体"/>
          <w:sz w:val="28"/>
          <w:szCs w:val="28"/>
        </w:rPr>
        <w:t>《网络竞价须知》（以下简称《须知》），依据《海南农村产权交易服务平台产权交易规则（试行）》、《农村产权交易服务平台网络竞价实施办法（试行）》及有关法律、法规的规定，制定本交易须知。</w:t>
      </w:r>
    </w:p>
    <w:p w14:paraId="4FBA0F46">
      <w:pPr>
        <w:numPr>
          <w:ilvl w:val="0"/>
          <w:numId w:val="0"/>
        </w:num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凡参加平台网络竞价的竞买方必须遵守本交易须知、平台有关交易规则以及有关法律法规。</w:t>
      </w:r>
    </w:p>
    <w:p w14:paraId="2B22499F">
      <w:pPr>
        <w:numPr>
          <w:ilvl w:val="0"/>
          <w:numId w:val="0"/>
        </w:num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b/>
          <w:bCs/>
          <w:sz w:val="28"/>
          <w:szCs w:val="28"/>
        </w:rPr>
        <w:t>（https://wanning.nongjiao.com/，以下简称“平台”）为指定的交易平台，竞买方应通过平台参与标的竞拍活动。</w:t>
      </w:r>
    </w:p>
    <w:p w14:paraId="4DF899D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D853F0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CCBE16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64F34B88">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auto"/>
          <w:sz w:val="28"/>
          <w:szCs w:val="28"/>
          <w:u w:val="single"/>
        </w:rPr>
        <w:t>202</w:t>
      </w:r>
      <w:r>
        <w:rPr>
          <w:rFonts w:hint="eastAsia" w:ascii="新宋体" w:hAnsi="新宋体" w:eastAsia="新宋体" w:cs="Times New Roman"/>
          <w:b/>
          <w:bCs/>
          <w:color w:val="auto"/>
          <w:sz w:val="28"/>
          <w:szCs w:val="28"/>
          <w:u w:val="single"/>
          <w:lang w:val="en-US" w:eastAsia="zh-CN"/>
        </w:rPr>
        <w:t>6</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01</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08</w:t>
      </w:r>
      <w:r>
        <w:rPr>
          <w:rFonts w:hint="eastAsia" w:ascii="新宋体" w:hAnsi="新宋体" w:eastAsia="新宋体" w:cs="Times New Roman"/>
          <w:b/>
          <w:bCs/>
          <w:color w:val="auto"/>
          <w:sz w:val="28"/>
          <w:szCs w:val="28"/>
          <w:u w:val="single"/>
        </w:rPr>
        <w:t xml:space="preserve"> 1</w:t>
      </w:r>
      <w:r>
        <w:rPr>
          <w:rFonts w:hint="default" w:ascii="新宋体" w:hAnsi="新宋体" w:eastAsia="新宋体" w:cs="Times New Roman"/>
          <w:b/>
          <w:bCs/>
          <w:color w:val="auto"/>
          <w:sz w:val="28"/>
          <w:szCs w:val="28"/>
          <w:u w:val="single"/>
          <w:lang w:val="en-US"/>
        </w:rPr>
        <w:t>6</w:t>
      </w:r>
      <w:r>
        <w:rPr>
          <w:rFonts w:hint="eastAsia" w:ascii="新宋体" w:hAnsi="新宋体" w:eastAsia="新宋体" w:cs="Times New Roman"/>
          <w:b/>
          <w:bCs/>
          <w:color w:val="auto"/>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w:t>
      </w:r>
      <w:r>
        <w:rPr>
          <w:rFonts w:hint="eastAsia" w:ascii="新宋体" w:hAnsi="新宋体" w:eastAsia="新宋体" w:cs="Times New Roman"/>
          <w:sz w:val="28"/>
          <w:szCs w:val="28"/>
          <w:lang w:eastAsia="zh-CN"/>
        </w:rPr>
        <w:t>首次支付流转费用的</w:t>
      </w:r>
      <w:r>
        <w:rPr>
          <w:rFonts w:hint="eastAsia" w:ascii="新宋体" w:hAnsi="新宋体" w:eastAsia="新宋体" w:cs="Times New Roman"/>
          <w:sz w:val="28"/>
          <w:szCs w:val="28"/>
        </w:rPr>
        <w:t>20%），</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竞买申请方必须用本人的银行账户（单位用户须用本单位公户）通过网银、手机银行、柜台转账等方式把交易保证金款项存入平台交易保证金结算账户，方取得竞拍资格。</w:t>
      </w:r>
    </w:p>
    <w:p w14:paraId="1AA76F53">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5F87A250">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151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5EBF">
            <w:pPr>
              <w:jc w:val="center"/>
              <w:rPr>
                <w:rFonts w:hint="eastAsia" w:ascii="仿宋" w:hAnsi="仿宋" w:eastAsia="仿宋" w:cs="仿宋"/>
                <w:b/>
                <w:bCs/>
                <w:sz w:val="28"/>
                <w:szCs w:val="28"/>
              </w:rPr>
            </w:pPr>
            <w:r>
              <w:rPr>
                <w:rFonts w:hint="eastAsia" w:ascii="仿宋" w:hAnsi="仿宋" w:eastAsia="仿宋" w:cs="仿宋"/>
                <w:b/>
                <w:bCs/>
                <w:sz w:val="28"/>
                <w:szCs w:val="28"/>
              </w:rPr>
              <w:t>万宁市农村产权交易中心有限公司</w:t>
            </w:r>
          </w:p>
        </w:tc>
      </w:tr>
      <w:tr w14:paraId="6E665B9C">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01C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08F4">
            <w:pPr>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rPr>
              <w:t>海南农村商业银行股份有限公司</w:t>
            </w:r>
            <w:r>
              <w:rPr>
                <w:rFonts w:hint="eastAsia" w:ascii="仿宋" w:hAnsi="仿宋" w:eastAsia="仿宋" w:cs="仿宋"/>
                <w:b/>
                <w:bCs/>
                <w:sz w:val="28"/>
                <w:szCs w:val="28"/>
                <w:lang w:val="en-US" w:eastAsia="zh-CN"/>
              </w:rPr>
              <w:t>万福支行</w:t>
            </w:r>
          </w:p>
        </w:tc>
      </w:tr>
      <w:tr w14:paraId="6F1D757B">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AB3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9F4C">
            <w:pPr>
              <w:jc w:val="center"/>
              <w:rPr>
                <w:rFonts w:hint="eastAsia" w:ascii="仿宋" w:hAnsi="仿宋" w:eastAsia="仿宋" w:cs="仿宋"/>
                <w:b/>
                <w:bCs/>
                <w:sz w:val="28"/>
                <w:szCs w:val="28"/>
              </w:rPr>
            </w:pPr>
            <w:r>
              <w:rPr>
                <w:rFonts w:hint="eastAsia" w:ascii="仿宋" w:hAnsi="仿宋" w:eastAsia="仿宋" w:cs="仿宋"/>
                <w:b/>
                <w:bCs/>
                <w:sz w:val="28"/>
                <w:szCs w:val="28"/>
              </w:rPr>
              <w:t>1020263700000291</w:t>
            </w:r>
          </w:p>
        </w:tc>
      </w:tr>
    </w:tbl>
    <w:p w14:paraId="6B0CFCD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21764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7DD1DA7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https://wanning.nongjiao.com/</w:t>
      </w:r>
      <w:r>
        <w:rPr>
          <w:rFonts w:hint="eastAsia" w:ascii="新宋体" w:hAnsi="新宋体" w:eastAsia="新宋体" w:cs="Times New Roman"/>
          <w:sz w:val="28"/>
          <w:szCs w:val="28"/>
        </w:rPr>
        <w:t>，即可操作。</w:t>
      </w:r>
    </w:p>
    <w:p w14:paraId="311A2A89">
      <w:pPr>
        <w:spacing w:line="520" w:lineRule="exact"/>
        <w:ind w:firstLine="560" w:firstLineChars="200"/>
        <w:jc w:val="left"/>
        <w:rPr>
          <w:rFonts w:hint="eastAsia" w:ascii="新宋体" w:hAnsi="新宋体" w:eastAsia="新宋体" w:cs="Times New Roman"/>
          <w:b w:val="0"/>
          <w:bCs w:val="0"/>
          <w:sz w:val="28"/>
          <w:szCs w:val="28"/>
          <w:lang w:val="en-US" w:eastAsia="zh-CN"/>
        </w:rPr>
      </w:pPr>
      <w:r>
        <w:rPr>
          <w:rFonts w:hint="eastAsia" w:ascii="新宋体" w:hAnsi="新宋体" w:eastAsia="新宋体" w:cs="Times New Roman"/>
          <w:b w:val="0"/>
          <w:bCs w:val="0"/>
          <w:sz w:val="28"/>
          <w:szCs w:val="28"/>
        </w:rPr>
        <w:t>1、本次网络竞价标的起拍价为人民币</w:t>
      </w:r>
      <w:r>
        <w:rPr>
          <w:rFonts w:hint="eastAsia" w:ascii="新宋体" w:hAnsi="新宋体" w:eastAsia="新宋体" w:cs="Times New Roman"/>
          <w:b w:val="0"/>
          <w:bCs w:val="0"/>
          <w:sz w:val="28"/>
          <w:szCs w:val="28"/>
          <w:lang w:val="en-US" w:eastAsia="zh-CN"/>
        </w:rPr>
        <w:t>；38000元（15年总价）。</w:t>
      </w:r>
    </w:p>
    <w:p w14:paraId="68ACFB2F">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lang w:val="en-US" w:eastAsia="zh-CN"/>
        </w:rPr>
        <w:t>2、</w:t>
      </w: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w:t>
      </w:r>
    </w:p>
    <w:p w14:paraId="5DF48850">
      <w:pPr>
        <w:spacing w:line="520" w:lineRule="exact"/>
        <w:ind w:firstLine="560" w:firstLineChars="200"/>
        <w:jc w:val="left"/>
        <w:rPr>
          <w:rFonts w:hint="eastAsia" w:ascii="新宋体" w:hAnsi="新宋体" w:eastAsia="新宋体" w:cs="Times New Roman"/>
          <w:sz w:val="28"/>
          <w:szCs w:val="28"/>
          <w:lang w:val="en-US" w:eastAsia="zh-CN"/>
        </w:rPr>
      </w:pPr>
      <w:r>
        <w:rPr>
          <w:rFonts w:hint="eastAsia" w:ascii="新宋体" w:hAnsi="新宋体" w:eastAsia="新宋体" w:cs="Times New Roman"/>
          <w:sz w:val="28"/>
          <w:szCs w:val="28"/>
        </w:rPr>
        <w:t>3、竞买方接受出租（转让）方确定的交易条件，通过平台的网络竞价系统进行动态递增（减）报价，将报价最高者确定为承租（受让）方的竞价方式（反向竞价以报价最低者确定为承租（受让）方）。</w:t>
      </w:r>
      <w:r>
        <w:rPr>
          <w:rFonts w:hint="eastAsia" w:ascii="新宋体" w:hAnsi="新宋体" w:eastAsia="新宋体" w:cs="Times New Roman"/>
          <w:sz w:val="28"/>
          <w:szCs w:val="28"/>
          <w:lang w:val="en-US" w:eastAsia="zh-CN"/>
        </w:rPr>
        <w:t xml:space="preserve"> </w:t>
      </w:r>
    </w:p>
    <w:p w14:paraId="2EC9D632">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rPr>
        <w:t>4、本次竞价</w:t>
      </w:r>
      <w:r>
        <w:rPr>
          <w:rFonts w:hint="eastAsia" w:ascii="新宋体" w:hAnsi="新宋体" w:eastAsia="新宋体" w:cs="Times New Roman"/>
          <w:sz w:val="28"/>
          <w:szCs w:val="28"/>
          <w:lang w:eastAsia="zh-CN"/>
        </w:rPr>
        <w:t>加价幅度</w:t>
      </w:r>
      <w:r>
        <w:rPr>
          <w:rFonts w:hint="eastAsia" w:ascii="新宋体" w:hAnsi="新宋体" w:eastAsia="新宋体" w:cs="Times New Roman"/>
          <w:sz w:val="28"/>
          <w:szCs w:val="28"/>
        </w:rPr>
        <w:t>为人民币：</w:t>
      </w:r>
      <w:r>
        <w:rPr>
          <w:rFonts w:hint="eastAsia" w:ascii="新宋体" w:hAnsi="新宋体" w:eastAsia="新宋体" w:cs="Times New Roman"/>
          <w:sz w:val="28"/>
          <w:szCs w:val="28"/>
          <w:lang w:val="en-US" w:eastAsia="zh-CN"/>
        </w:rPr>
        <w:t>100</w:t>
      </w:r>
      <w:r>
        <w:rPr>
          <w:rFonts w:hint="eastAsia" w:ascii="新宋体" w:hAnsi="新宋体" w:eastAsia="新宋体" w:cs="Times New Roman"/>
          <w:sz w:val="28"/>
          <w:szCs w:val="28"/>
        </w:rPr>
        <w:t>元。</w:t>
      </w:r>
    </w:p>
    <w:p w14:paraId="0EBBDD83">
      <w:pPr>
        <w:spacing w:line="520" w:lineRule="exact"/>
        <w:ind w:firstLine="560" w:firstLineChars="200"/>
        <w:jc w:val="left"/>
        <w:rPr>
          <w:rFonts w:ascii="新宋体" w:hAnsi="新宋体" w:eastAsia="新宋体" w:cs="Times New Roman"/>
          <w:sz w:val="28"/>
          <w:szCs w:val="28"/>
        </w:rPr>
      </w:pPr>
      <w:r>
        <w:rPr>
          <w:rFonts w:hint="eastAsia" w:ascii="新宋体" w:hAnsi="新宋体" w:eastAsia="新宋体" w:cs="Times New Roman"/>
          <w:sz w:val="28"/>
          <w:szCs w:val="28"/>
        </w:rPr>
        <w:t>5、本次网络竞价</w:t>
      </w:r>
      <w:r>
        <w:rPr>
          <w:rFonts w:hint="eastAsia" w:ascii="新宋体" w:hAnsi="新宋体" w:eastAsia="新宋体" w:cs="Times New Roman"/>
          <w:sz w:val="28"/>
          <w:szCs w:val="28"/>
          <w:lang w:eastAsia="zh-CN"/>
        </w:rPr>
        <w:t>为在线自由竞价正向</w:t>
      </w:r>
      <w:r>
        <w:rPr>
          <w:rFonts w:hint="eastAsia" w:ascii="新宋体" w:hAnsi="新宋体" w:eastAsia="新宋体" w:cs="Times New Roman"/>
          <w:sz w:val="28"/>
          <w:szCs w:val="28"/>
        </w:rPr>
        <w:t>。</w:t>
      </w:r>
    </w:p>
    <w:p w14:paraId="30391E1A">
      <w:pPr>
        <w:spacing w:line="400" w:lineRule="exact"/>
        <w:ind w:firstLine="560" w:firstLineChars="200"/>
        <w:rPr>
          <w:rFonts w:hint="eastAsia" w:ascii="新宋体" w:hAnsi="新宋体" w:eastAsia="新宋体" w:cs="Times New Roman"/>
          <w:b w:val="0"/>
          <w:bCs w:val="0"/>
          <w:sz w:val="28"/>
          <w:szCs w:val="28"/>
          <w:lang w:eastAsia="zh-CN"/>
        </w:rPr>
      </w:pPr>
      <w:r>
        <w:rPr>
          <w:rFonts w:hint="eastAsia" w:ascii="新宋体" w:hAnsi="新宋体" w:eastAsia="新宋体" w:cs="Times New Roman"/>
          <w:b w:val="0"/>
          <w:bCs w:val="0"/>
          <w:sz w:val="28"/>
          <w:szCs w:val="28"/>
        </w:rPr>
        <w:t>6、自由竞价期从</w:t>
      </w:r>
      <w:r>
        <w:rPr>
          <w:rFonts w:hint="eastAsia" w:ascii="新宋体" w:hAnsi="新宋体" w:eastAsia="新宋体" w:cs="Times New Roman"/>
          <w:b w:val="0"/>
          <w:bCs w:val="0"/>
          <w:color w:val="auto"/>
          <w:sz w:val="28"/>
          <w:szCs w:val="28"/>
          <w:u w:val="single"/>
        </w:rPr>
        <w:t>202</w:t>
      </w:r>
      <w:r>
        <w:rPr>
          <w:rFonts w:hint="eastAsia" w:ascii="新宋体" w:hAnsi="新宋体" w:eastAsia="新宋体" w:cs="Times New Roman"/>
          <w:b w:val="0"/>
          <w:bCs w:val="0"/>
          <w:color w:val="auto"/>
          <w:sz w:val="28"/>
          <w:szCs w:val="28"/>
          <w:u w:val="single"/>
          <w:lang w:val="en-US" w:eastAsia="zh-CN"/>
        </w:rPr>
        <w:t>6</w:t>
      </w:r>
      <w:r>
        <w:rPr>
          <w:rFonts w:hint="eastAsia" w:ascii="新宋体" w:hAnsi="新宋体" w:eastAsia="新宋体" w:cs="Times New Roman"/>
          <w:b w:val="0"/>
          <w:bCs w:val="0"/>
          <w:color w:val="auto"/>
          <w:sz w:val="28"/>
          <w:szCs w:val="28"/>
          <w:u w:val="single"/>
        </w:rPr>
        <w:t>-</w:t>
      </w:r>
      <w:r>
        <w:rPr>
          <w:rFonts w:hint="eastAsia" w:ascii="新宋体" w:hAnsi="新宋体" w:eastAsia="新宋体" w:cs="Times New Roman"/>
          <w:b w:val="0"/>
          <w:bCs w:val="0"/>
          <w:color w:val="auto"/>
          <w:sz w:val="28"/>
          <w:szCs w:val="28"/>
          <w:u w:val="single"/>
          <w:lang w:val="en-US" w:eastAsia="zh-CN"/>
        </w:rPr>
        <w:t>01-09  10</w:t>
      </w:r>
      <w:r>
        <w:rPr>
          <w:rFonts w:hint="eastAsia" w:ascii="新宋体" w:hAnsi="新宋体" w:eastAsia="新宋体" w:cs="Times New Roman"/>
          <w:b w:val="0"/>
          <w:bCs w:val="0"/>
          <w:color w:val="auto"/>
          <w:sz w:val="28"/>
          <w:szCs w:val="28"/>
          <w:u w:val="single"/>
        </w:rPr>
        <w:t>:</w:t>
      </w:r>
      <w:r>
        <w:rPr>
          <w:rFonts w:hint="default" w:ascii="新宋体" w:hAnsi="新宋体" w:eastAsia="新宋体" w:cs="Times New Roman"/>
          <w:b w:val="0"/>
          <w:bCs w:val="0"/>
          <w:color w:val="auto"/>
          <w:sz w:val="28"/>
          <w:szCs w:val="28"/>
          <w:u w:val="single"/>
          <w:lang w:val="en-US"/>
        </w:rPr>
        <w:t>0</w:t>
      </w:r>
      <w:r>
        <w:rPr>
          <w:rFonts w:hint="eastAsia" w:ascii="新宋体" w:hAnsi="新宋体" w:eastAsia="新宋体" w:cs="Times New Roman"/>
          <w:b w:val="0"/>
          <w:bCs w:val="0"/>
          <w:color w:val="auto"/>
          <w:sz w:val="28"/>
          <w:szCs w:val="28"/>
          <w:u w:val="single"/>
        </w:rPr>
        <w:t>0</w:t>
      </w:r>
      <w:r>
        <w:rPr>
          <w:rFonts w:hint="eastAsia" w:ascii="新宋体" w:hAnsi="新宋体" w:eastAsia="新宋体" w:cs="Times New Roman"/>
          <w:b w:val="0"/>
          <w:bCs w:val="0"/>
          <w:sz w:val="28"/>
          <w:szCs w:val="28"/>
        </w:rPr>
        <w:t>准点开始（以竞价系统显示时间为准）</w:t>
      </w:r>
      <w:r>
        <w:rPr>
          <w:rFonts w:hint="eastAsia" w:ascii="新宋体" w:hAnsi="新宋体" w:eastAsia="新宋体" w:cs="Times New Roman"/>
          <w:b w:val="0"/>
          <w:bCs w:val="0"/>
          <w:sz w:val="28"/>
          <w:szCs w:val="28"/>
          <w:lang w:eastAsia="zh-CN"/>
        </w:rPr>
        <w:t>。</w:t>
      </w:r>
    </w:p>
    <w:p w14:paraId="66E3CD0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7、在一个延时竞价周期内如未出现新的有效报价，则当前有效报价方成为该次网络竞价活动的最高（低）报价方。</w:t>
      </w:r>
    </w:p>
    <w:p w14:paraId="28AC7CA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8、竞买方须谨慎在网络报价，网络报价一经提交并经平台记录即视为有效报价，竞买方不可变更或撤销。</w:t>
      </w:r>
    </w:p>
    <w:p w14:paraId="65579791">
      <w:pPr>
        <w:spacing w:line="500" w:lineRule="exact"/>
        <w:ind w:firstLine="560" w:firstLineChars="200"/>
        <w:rPr>
          <w:b w:val="0"/>
          <w:bCs w:val="0"/>
        </w:rPr>
      </w:pPr>
      <w:r>
        <w:rPr>
          <w:rFonts w:hint="eastAsia" w:ascii="新宋体" w:hAnsi="新宋体" w:eastAsia="新宋体" w:cs="Times New Roman"/>
          <w:b w:val="0"/>
          <w:bCs w:val="0"/>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69E96DA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52EE9EB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11、竞买方应尽量避免在竞拍倒计时截止前的最后1分钟内进行竞买报价，以防止因网络延迟造成系统无法接受报价导致报价无效。</w:t>
      </w:r>
    </w:p>
    <w:p w14:paraId="723CF23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12、竞拍最高（低）报价的结果以系统记录数据为准。</w:t>
      </w:r>
    </w:p>
    <w:p w14:paraId="6D31EDB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13、因竞买方如下行为产生的一切后果，平台不承担任何责任：</w:t>
      </w:r>
    </w:p>
    <w:p w14:paraId="6E20206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（1）未及时关注平台发布的竞价活动相关信息的；</w:t>
      </w:r>
    </w:p>
    <w:p w14:paraId="6732ED79">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（2）所填写的信息不真实、不准确或不完整而造成注册账户无法使用或交易保证金无法退还的；</w:t>
      </w:r>
    </w:p>
    <w:p w14:paraId="411DE0F6">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（3）由所提交的信息不真实、不完善、不准确而导致自身未通过资格条件审核的；</w:t>
      </w:r>
    </w:p>
    <w:p w14:paraId="075FAD6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（4）交易保证金交纳不及时的；</w:t>
      </w:r>
    </w:p>
    <w:p w14:paraId="4CC0B5A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（5）由于竞买方自身的终端设备和网络异常等原因导致无法正常报价的；</w:t>
      </w:r>
    </w:p>
    <w:p w14:paraId="5308050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（6）网络竞价活动的时间以网络竞价系统服务器时间为准，由于竞买方自身终端设备时间与网络竞价服务器时间不符而导致的未按时参与报价的；</w:t>
      </w:r>
    </w:p>
    <w:p w14:paraId="64599E0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14、网络竞价系统因不可抗力、软硬件故障、非法入侵、恶意攻击等原因而导致系统异常、竞价活动中断的，当次网络竞价结果无效。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7F87661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（1）网络交易系统被黑客侵入、破坏导致无法正常运行；</w:t>
      </w:r>
    </w:p>
    <w:p w14:paraId="383A154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（2）电信部门技术调整、电信线路或网络故障导致信息无法传递；</w:t>
      </w:r>
    </w:p>
    <w:p w14:paraId="700ADDFF">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（3）电力故障；</w:t>
      </w:r>
    </w:p>
    <w:p w14:paraId="59A467E5">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（4）系统升级、系统设备故障；</w:t>
      </w:r>
    </w:p>
    <w:p w14:paraId="57A315C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（5）平台服务器、平台运营单位办公区域出现不可抗力因素导致无法正常实施网络交易活动；</w:t>
      </w:r>
    </w:p>
    <w:p w14:paraId="4C71CA70">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（6）因操作失误导致起拍价、加（减）价幅度、竞价期结束时间周期等设置错误的；</w:t>
      </w:r>
    </w:p>
    <w:p w14:paraId="4C51AC07">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（7）经平台运营单位或委托人核实的其他原因；</w:t>
      </w:r>
    </w:p>
    <w:p w14:paraId="2223041A">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（8）平台认为需要中止网络竞价活动的其他情形。</w:t>
      </w:r>
    </w:p>
    <w:p w14:paraId="301500AC">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8EBE6B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032C4C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2E5B9A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11EA0A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3149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40F631F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B576E7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81B51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576540B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671367E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1E145DD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3DD31B9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4C6074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DE35BE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63005CD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5949D7A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BAB63D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216D0F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7AE9AD1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产权交易结算通知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01ABBBD7">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743AA6DD">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E111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63667F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6A4A4BF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AEC81B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80F03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9CDF8C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337A6E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F64A8B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52660DD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74058FF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2D17D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5D0AB9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3E371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5F2DB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97113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9756B7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A2CB5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06E15C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096F8AF">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3484CF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D99869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0B9435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6C0C56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EA4FF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BD9BD6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61203B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31A4DC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6253E84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D97C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450581C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43423D7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28EDB0D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D5F0CC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017158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7A390B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6C5496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83E78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4B2C0AB">
      <w:pPr>
        <w:spacing w:line="520" w:lineRule="exact"/>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1A1BDBA">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5FD3E2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5D303D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万宁市农村产权交易中心有限公司</w:t>
            </w:r>
          </w:p>
        </w:tc>
      </w:tr>
      <w:tr w14:paraId="6B991C3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B9FAB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570D689">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rPr>
              <w:t>海南农村商业银行股份有限公司</w:t>
            </w:r>
            <w:r>
              <w:rPr>
                <w:rFonts w:hint="eastAsia" w:asciiTheme="minorEastAsia" w:hAnsiTheme="minorEastAsia" w:cstheme="minorEastAsia"/>
                <w:b/>
                <w:bCs/>
                <w:sz w:val="28"/>
                <w:szCs w:val="28"/>
                <w:lang w:val="en-US" w:eastAsia="zh-CN"/>
              </w:rPr>
              <w:t>万宁支行</w:t>
            </w:r>
          </w:p>
        </w:tc>
      </w:tr>
      <w:tr w14:paraId="5780686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3860EE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7DEA06F">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1020263700000148</w:t>
            </w:r>
          </w:p>
        </w:tc>
      </w:tr>
    </w:tbl>
    <w:p w14:paraId="61100B4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sz w:val="28"/>
          <w:szCs w:val="28"/>
        </w:rPr>
        <w:t>海南农村产权交易服务平台产权交易规则（试行）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3D15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01BA5CA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5C66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1C76928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431EBE2B">
      <w:pPr>
        <w:pStyle w:val="10"/>
        <w:ind w:left="2250" w:hanging="1200"/>
      </w:pPr>
    </w:p>
    <w:p w14:paraId="1875D154"/>
    <w:p w14:paraId="0E2AD33D">
      <w:pPr>
        <w:pStyle w:val="5"/>
      </w:pPr>
    </w:p>
    <w:p w14:paraId="0C5239B8">
      <w:pPr>
        <w:spacing w:line="520" w:lineRule="exact"/>
      </w:pPr>
      <w:r>
        <w:rPr>
          <w:rFonts w:hint="eastAsia" w:ascii="Times New Roman" w:hAnsi="Times New Roman"/>
          <w:sz w:val="32"/>
          <w:szCs w:val="32"/>
        </w:rPr>
        <w:t>已详细阅读此竞价须知，对此竞价须知无异议。</w:t>
      </w:r>
    </w:p>
    <w:p w14:paraId="322B307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6CD78B7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3FA4AEF">
      <w:pPr>
        <w:pStyle w:val="3"/>
        <w:spacing w:line="240" w:lineRule="auto"/>
        <w:rPr>
          <w:rFonts w:ascii="黑体" w:hAnsi="黑体"/>
          <w:color w:val="000000"/>
        </w:rPr>
      </w:pPr>
    </w:p>
    <w:p w14:paraId="4624E48A">
      <w:pPr>
        <w:pStyle w:val="3"/>
        <w:spacing w:line="240" w:lineRule="auto"/>
        <w:jc w:val="both"/>
        <w:rPr>
          <w:rFonts w:ascii="黑体" w:hAnsi="黑体"/>
          <w:color w:val="000000"/>
        </w:rPr>
      </w:pPr>
    </w:p>
    <w:p w14:paraId="627EE9E7">
      <w:pPr>
        <w:rPr>
          <w:rFonts w:ascii="黑体" w:hAnsi="黑体"/>
          <w:color w:val="000000"/>
        </w:rPr>
      </w:pPr>
    </w:p>
    <w:p w14:paraId="64DA4DD1">
      <w:pPr>
        <w:pStyle w:val="3"/>
        <w:spacing w:line="240" w:lineRule="auto"/>
        <w:jc w:val="both"/>
        <w:rPr>
          <w:rFonts w:ascii="黑体" w:hAnsi="黑体"/>
          <w:color w:val="00000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FE352B9">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3ABE544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万宁农村产权交易中心：</w:t>
      </w:r>
    </w:p>
    <w:p w14:paraId="5EFDE509">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万城镇红山村委会后山岭0.18亩土地出租项目</w:t>
      </w:r>
      <w:r>
        <w:rPr>
          <w:rFonts w:ascii="Times New Roman" w:hAnsi="Times New Roman"/>
          <w:sz w:val="28"/>
          <w:szCs w:val="28"/>
        </w:rPr>
        <w:t>”</w:t>
      </w:r>
      <w:r>
        <w:rPr>
          <w:rFonts w:hint="eastAsia" w:ascii="Times New Roman" w:hAnsi="Times New Roman"/>
          <w:sz w:val="28"/>
          <w:szCs w:val="28"/>
        </w:rPr>
        <w:t>网络竞价活动作出如下承诺：</w:t>
      </w:r>
    </w:p>
    <w:p w14:paraId="482CE20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hint="eastAsia"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万城镇红山村委会后山岭0.18亩土地出租项目</w:t>
      </w:r>
      <w:r>
        <w:rPr>
          <w:rFonts w:ascii="Times New Roman" w:hAnsi="Times New Roman"/>
          <w:sz w:val="28"/>
          <w:szCs w:val="28"/>
        </w:rPr>
        <w:t>”</w:t>
      </w:r>
      <w:r>
        <w:rPr>
          <w:rFonts w:hint="eastAsia" w:ascii="Times New Roman" w:hAnsi="Times New Roman"/>
          <w:sz w:val="28"/>
          <w:szCs w:val="28"/>
        </w:rPr>
        <w:t>网络竞价活动，并参与报价。</w:t>
      </w:r>
    </w:p>
    <w:p w14:paraId="425DA77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万城镇红山村委会后山岭0.18亩土地出租项目</w:t>
      </w:r>
      <w:r>
        <w:rPr>
          <w:rFonts w:ascii="Times New Roman" w:hAnsi="Times New Roman"/>
          <w:sz w:val="28"/>
          <w:szCs w:val="28"/>
        </w:rPr>
        <w:t>”</w:t>
      </w:r>
      <w:r>
        <w:rPr>
          <w:rFonts w:hint="eastAsia" w:ascii="Times New Roman" w:hAnsi="Times New Roman"/>
          <w:sz w:val="28"/>
          <w:szCs w:val="28"/>
        </w:rPr>
        <w:t>和</w:t>
      </w:r>
      <w:r>
        <w:rPr>
          <w:rFonts w:hint="eastAsia" w:ascii="新宋体" w:hAnsi="新宋体" w:eastAsia="新宋体"/>
          <w:sz w:val="28"/>
          <w:szCs w:val="28"/>
        </w:rPr>
        <w:t>《</w:t>
      </w:r>
      <w:r>
        <w:rPr>
          <w:rFonts w:hint="eastAsia" w:ascii="新宋体" w:hAnsi="新宋体" w:eastAsia="新宋体"/>
          <w:sz w:val="28"/>
          <w:szCs w:val="28"/>
          <w:lang w:val="en-US" w:eastAsia="zh-CN"/>
        </w:rPr>
        <w:t>海南农村产权交易服务平台</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9BF586F">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sz w:val="28"/>
          <w:szCs w:val="28"/>
        </w:rPr>
        <w:t>（https:/</w:t>
      </w:r>
      <w:r>
        <w:rPr>
          <w:rFonts w:hint="eastAsia" w:ascii="新宋体" w:hAnsi="新宋体" w:eastAsia="新宋体" w:cs="Times New Roman"/>
          <w:b w:val="0"/>
          <w:bCs w:val="0"/>
          <w:sz w:val="28"/>
          <w:szCs w:val="28"/>
        </w:rPr>
        <w:t>/</w:t>
      </w:r>
      <w:r>
        <w:rPr>
          <w:rFonts w:hint="eastAsia" w:ascii="Times New Roman" w:hAnsi="Times New Roman"/>
          <w:b w:val="0"/>
          <w:bCs w:val="0"/>
          <w:sz w:val="28"/>
          <w:szCs w:val="28"/>
        </w:rPr>
        <w:t>wanning</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546AC05">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791C4E6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万宁农村产权交易服务平台</w:t>
      </w:r>
      <w:r>
        <w:rPr>
          <w:rFonts w:hint="eastAsia" w:ascii="Times New Roman" w:hAnsi="Times New Roman"/>
          <w:sz w:val="28"/>
          <w:szCs w:val="28"/>
        </w:rPr>
        <w:t>书面通知要求与出租（转让）方签署交易合同，并按《产权交易结算通知书》的约定支付交易价款。</w:t>
      </w:r>
    </w:p>
    <w:p w14:paraId="52527B3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5F4B860">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663FC691">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7A6DA8E">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CDC4A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2E794E9C">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承租申请书</w:t>
      </w:r>
    </w:p>
    <w:p w14:paraId="3AFC38DE">
      <w:pPr>
        <w:rPr>
          <w:rFonts w:ascii="仿宋_GB2312" w:hAnsi="仿宋_GB2312" w:eastAsia="仿宋_GB2312" w:cs="仿宋_GB2312"/>
          <w:color w:val="000000"/>
          <w:sz w:val="36"/>
          <w:szCs w:val="30"/>
        </w:rPr>
      </w:pPr>
    </w:p>
    <w:p w14:paraId="2450F8A7">
      <w:pPr>
        <w:rPr>
          <w:rFonts w:ascii="仿宋_GB2312" w:hAnsi="仿宋_GB2312" w:eastAsia="仿宋_GB2312" w:cs="仿宋_GB2312"/>
          <w:color w:val="000000"/>
          <w:sz w:val="30"/>
          <w:szCs w:val="30"/>
        </w:rPr>
      </w:pPr>
    </w:p>
    <w:p w14:paraId="54A1B9FF">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616AE30C">
      <w:pPr>
        <w:rPr>
          <w:rFonts w:ascii="仿宋_GB2312" w:hAnsi="仿宋_GB2312" w:eastAsia="仿宋_GB2312" w:cs="仿宋_GB2312"/>
          <w:b/>
          <w:color w:val="000000"/>
          <w:sz w:val="30"/>
          <w:szCs w:val="30"/>
        </w:rPr>
      </w:pPr>
    </w:p>
    <w:p w14:paraId="43C225C1">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034AED51">
      <w:pPr>
        <w:rPr>
          <w:rFonts w:ascii="仿宋_GB2312" w:hAnsi="仿宋_GB2312" w:eastAsia="仿宋_GB2312" w:cs="仿宋_GB2312"/>
          <w:b/>
          <w:color w:val="000000"/>
          <w:sz w:val="30"/>
          <w:szCs w:val="30"/>
          <w:u w:val="single"/>
        </w:rPr>
      </w:pPr>
    </w:p>
    <w:p w14:paraId="6D275AA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118DF455">
      <w:pPr>
        <w:rPr>
          <w:rFonts w:ascii="仿宋_GB2312" w:hAnsi="仿宋_GB2312" w:eastAsia="仿宋_GB2312" w:cs="仿宋_GB2312"/>
          <w:color w:val="000000"/>
          <w:sz w:val="30"/>
          <w:szCs w:val="30"/>
        </w:rPr>
      </w:pPr>
    </w:p>
    <w:p w14:paraId="252C5808">
      <w:pPr>
        <w:rPr>
          <w:rFonts w:ascii="仿宋_GB2312" w:hAnsi="仿宋_GB2312" w:eastAsia="仿宋_GB2312" w:cs="仿宋_GB2312"/>
          <w:color w:val="000000"/>
          <w:sz w:val="30"/>
          <w:szCs w:val="30"/>
        </w:rPr>
      </w:pPr>
    </w:p>
    <w:p w14:paraId="0D725A69">
      <w:pPr>
        <w:rPr>
          <w:rFonts w:ascii="仿宋_GB2312" w:hAnsi="仿宋_GB2312" w:eastAsia="仿宋_GB2312" w:cs="仿宋_GB2312"/>
          <w:color w:val="000000"/>
          <w:sz w:val="30"/>
          <w:szCs w:val="30"/>
        </w:rPr>
      </w:pPr>
    </w:p>
    <w:p w14:paraId="45B6F460">
      <w:pPr>
        <w:rPr>
          <w:rFonts w:ascii="仿宋_GB2312" w:hAnsi="仿宋_GB2312" w:eastAsia="仿宋_GB2312" w:cs="仿宋_GB2312"/>
          <w:color w:val="000000"/>
          <w:sz w:val="30"/>
          <w:szCs w:val="30"/>
        </w:rPr>
      </w:pPr>
    </w:p>
    <w:p w14:paraId="2E55E8D5">
      <w:pPr>
        <w:rPr>
          <w:rFonts w:ascii="仿宋_GB2312" w:hAnsi="仿宋_GB2312" w:eastAsia="仿宋_GB2312" w:cs="仿宋_GB2312"/>
          <w:color w:val="000000"/>
          <w:sz w:val="30"/>
          <w:szCs w:val="30"/>
        </w:rPr>
      </w:pPr>
    </w:p>
    <w:p w14:paraId="00170B2F">
      <w:pPr>
        <w:rPr>
          <w:rFonts w:ascii="仿宋_GB2312" w:hAnsi="仿宋_GB2312" w:eastAsia="仿宋_GB2312" w:cs="仿宋_GB2312"/>
          <w:color w:val="000000"/>
          <w:sz w:val="30"/>
          <w:szCs w:val="30"/>
        </w:rPr>
      </w:pPr>
    </w:p>
    <w:p w14:paraId="5E2FBAAF">
      <w:pPr>
        <w:rPr>
          <w:rFonts w:ascii="仿宋_GB2312" w:hAnsi="仿宋_GB2312" w:eastAsia="仿宋_GB2312" w:cs="仿宋_GB2312"/>
          <w:color w:val="000000"/>
          <w:sz w:val="30"/>
          <w:szCs w:val="30"/>
        </w:rPr>
      </w:pPr>
    </w:p>
    <w:p w14:paraId="365EAA4F">
      <w:pPr>
        <w:pStyle w:val="5"/>
      </w:pPr>
    </w:p>
    <w:p w14:paraId="3AD64DF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万宁农村产权交易中心</w:t>
      </w:r>
      <w:r>
        <w:rPr>
          <w:rFonts w:hint="eastAsia" w:ascii="仿宋_GB2312" w:hAnsi="仿宋_GB2312" w:eastAsia="仿宋_GB2312" w:cs="仿宋_GB2312"/>
          <w:b/>
          <w:color w:val="000000"/>
          <w:sz w:val="36"/>
          <w:szCs w:val="30"/>
        </w:rPr>
        <w:t>制</w:t>
      </w:r>
    </w:p>
    <w:p w14:paraId="067720E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w:t>
      </w:r>
      <w:r>
        <w:rPr>
          <w:rFonts w:hint="eastAsia" w:ascii="仿宋_GB2312" w:hAnsi="仿宋_GB2312" w:eastAsia="仿宋_GB2312" w:cs="仿宋_GB2312"/>
          <w:b/>
          <w:color w:val="000000"/>
          <w:sz w:val="36"/>
          <w:szCs w:val="30"/>
        </w:rPr>
        <w:t>月</w:t>
      </w:r>
    </w:p>
    <w:p w14:paraId="5A2DA3DE">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BD3F14">
      <w:pPr>
        <w:pStyle w:val="3"/>
        <w:pageBreakBefore w:val="0"/>
        <w:widowControl w:val="0"/>
        <w:kinsoku/>
        <w:wordWrap/>
        <w:overflowPunct/>
        <w:topLinePunct w:val="0"/>
        <w:autoSpaceDE/>
        <w:autoSpaceDN/>
        <w:bidi w:val="0"/>
        <w:adjustRightInd/>
        <w:snapToGrid/>
        <w:spacing w:line="560" w:lineRule="exact"/>
        <w:textAlignment w:val="auto"/>
        <w:rPr>
          <w:rFonts w:ascii="仿宋" w:hAnsi="仿宋"/>
          <w:bCs/>
          <w:sz w:val="36"/>
          <w:szCs w:val="36"/>
        </w:rPr>
      </w:pPr>
      <w:r>
        <w:rPr>
          <w:rFonts w:hint="eastAsia"/>
          <w:bCs/>
          <w:sz w:val="36"/>
          <w:szCs w:val="36"/>
        </w:rPr>
        <w:t>意向承租函</w:t>
      </w:r>
    </w:p>
    <w:p w14:paraId="308C4686">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b w:val="0"/>
          <w:bCs w:val="0"/>
          <w:sz w:val="28"/>
          <w:szCs w:val="28"/>
        </w:rPr>
      </w:pPr>
      <w:r>
        <w:rPr>
          <w:rFonts w:hint="eastAsia" w:ascii="Times New Roman" w:hAnsi="Times New Roman" w:eastAsia="黑体"/>
          <w:b w:val="0"/>
          <w:bCs w:val="0"/>
          <w:sz w:val="28"/>
          <w:szCs w:val="28"/>
        </w:rPr>
        <w:t>万宁农村产权交易中心：</w:t>
      </w:r>
    </w:p>
    <w:p w14:paraId="0239A1D6">
      <w:pPr>
        <w:keepNext w:val="0"/>
        <w:keepLines w:val="0"/>
        <w:pageBreakBefore w:val="0"/>
        <w:widowControl w:val="0"/>
        <w:kinsoku/>
        <w:wordWrap/>
        <w:overflowPunct/>
        <w:topLinePunct w:val="0"/>
        <w:autoSpaceDE/>
        <w:autoSpaceDN/>
        <w:bidi w:val="0"/>
        <w:adjustRightInd/>
        <w:snapToGrid/>
        <w:spacing w:line="560" w:lineRule="exact"/>
        <w:ind w:firstLine="840" w:firstLineChars="300"/>
        <w:jc w:val="both"/>
        <w:textAlignment w:val="auto"/>
        <w:rPr>
          <w:b w:val="0"/>
          <w:bCs w:val="0"/>
          <w:sz w:val="28"/>
          <w:szCs w:val="28"/>
        </w:rPr>
      </w:pPr>
      <w:r>
        <w:rPr>
          <w:b w:val="0"/>
          <w:bCs w:val="0"/>
          <w:sz w:val="28"/>
          <w:szCs w:val="28"/>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b w:val="0"/>
          <w:bCs w:val="0"/>
          <w:sz w:val="28"/>
          <w:szCs w:val="28"/>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 w:val="0"/>
          <w:bCs w:val="0"/>
          <w:sz w:val="28"/>
          <w:szCs w:val="28"/>
        </w:rPr>
        <w:t>根据有关农村产权流转交易的法律法规及政策规定，本意向方现向</w:t>
      </w:r>
      <w:r>
        <w:rPr>
          <w:rFonts w:hint="eastAsia" w:ascii="Times New Roman" w:hAnsi="Times New Roman"/>
          <w:b w:val="0"/>
          <w:bCs w:val="0"/>
          <w:sz w:val="28"/>
          <w:szCs w:val="28"/>
          <w:lang w:val="en-US" w:eastAsia="zh-CN"/>
        </w:rPr>
        <w:t>万宁市农村产权交易中心管理平台</w:t>
      </w:r>
      <w:r>
        <w:rPr>
          <w:rFonts w:hint="eastAsia" w:ascii="Times New Roman" w:hAnsi="Times New Roman"/>
          <w:b w:val="0"/>
          <w:bCs w:val="0"/>
          <w:sz w:val="28"/>
          <w:szCs w:val="28"/>
        </w:rPr>
        <w:t>（https://wanning.nongjiao.com/，以下简称“平台”）申请承租（受让）</w:t>
      </w:r>
      <w:r>
        <w:rPr>
          <w:rFonts w:hint="eastAsia" w:ascii="新宋体" w:hAnsi="新宋体" w:eastAsia="新宋体"/>
          <w:b w:val="0"/>
          <w:bCs w:val="0"/>
          <w:sz w:val="28"/>
          <w:szCs w:val="28"/>
          <w:u w:val="single"/>
          <w:lang w:val="en-US" w:eastAsia="zh-CN"/>
        </w:rPr>
        <w:t>万城镇红山村委会后山岭0.18亩土地出租项目</w:t>
      </w:r>
      <w:r>
        <w:rPr>
          <w:rFonts w:hint="eastAsia" w:ascii="Times New Roman" w:hAnsi="Times New Roman"/>
          <w:b w:val="0"/>
          <w:bCs w:val="0"/>
          <w:sz w:val="28"/>
          <w:szCs w:val="28"/>
        </w:rPr>
        <w:t>，并承诺：</w:t>
      </w:r>
    </w:p>
    <w:p w14:paraId="33A983E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1</w:t>
      </w:r>
      <w:r>
        <w:rPr>
          <w:rFonts w:hint="eastAsia" w:ascii="Times New Roman" w:hAnsi="Times New Roman"/>
          <w:b w:val="0"/>
          <w:bCs w:val="0"/>
          <w:sz w:val="28"/>
          <w:szCs w:val="28"/>
        </w:rPr>
        <w:t>、我方申请承租（受让）该项目，并接受项目公开挂牌信息所载的全部承租（受让）要求，我方承租（受让）行为已经过相应的有效内部决策并得到相应批准。</w:t>
      </w:r>
    </w:p>
    <w:p w14:paraId="13F0EA6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2</w:t>
      </w:r>
      <w:r>
        <w:rPr>
          <w:rFonts w:hint="eastAsia" w:ascii="Times New Roman" w:hAnsi="Times New Roman"/>
          <w:b w:val="0"/>
          <w:bCs w:val="0"/>
          <w:sz w:val="28"/>
          <w:szCs w:val="28"/>
        </w:rPr>
        <w:t>、我方具有良好的财务状况、商业信用和农业投资经营能力，符合农村产权相关法律法规及政策对承租（受让）方条件的规定。</w:t>
      </w:r>
    </w:p>
    <w:p w14:paraId="36E9431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3</w:t>
      </w:r>
      <w:r>
        <w:rPr>
          <w:rFonts w:hint="eastAsia" w:ascii="Times New Roman" w:hAnsi="Times New Roman"/>
          <w:b w:val="0"/>
          <w:bCs w:val="0"/>
          <w:sz w:val="28"/>
          <w:szCs w:val="28"/>
        </w:rPr>
        <w:t>、我方对所填写的内容及提交的所有材料（包括原件、复印件）的真实性、合法性、有效性、完整性承担责任。</w:t>
      </w:r>
    </w:p>
    <w:p w14:paraId="01397D4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ascii="Times New Roman" w:hAnsi="Times New Roman"/>
          <w:b w:val="0"/>
          <w:bCs w:val="0"/>
          <w:sz w:val="28"/>
          <w:szCs w:val="28"/>
        </w:rPr>
        <w:t>4</w:t>
      </w:r>
      <w:r>
        <w:rPr>
          <w:rFonts w:hint="eastAsia" w:ascii="Times New Roman" w:hAnsi="Times New Roman"/>
          <w:b w:val="0"/>
          <w:bCs w:val="0"/>
          <w:sz w:val="28"/>
          <w:szCs w:val="28"/>
        </w:rPr>
        <w:t>、已知悉贵服务平台的交易规则，并充分理解和认可，同意按照贵服务平台《海南省数农产权运营管理有限公司农村产权交易服务平台产权交易规则（试行）》等相关规定实施农村产权流转活动；</w:t>
      </w:r>
      <w:r>
        <w:rPr>
          <w:rFonts w:hint="eastAsia" w:ascii="Times New Roman" w:hAnsi="Times New Roman" w:eastAsia="宋体" w:cs="Times New Roman"/>
          <w:b w:val="0"/>
          <w:bCs w:val="0"/>
          <w:sz w:val="28"/>
          <w:szCs w:val="28"/>
        </w:rPr>
        <w:t>信息公告</w:t>
      </w:r>
      <w:r>
        <w:rPr>
          <w:rFonts w:hint="eastAsia" w:ascii="Times New Roman" w:hAnsi="Times New Roman" w:cs="Times New Roman"/>
          <w:b w:val="0"/>
          <w:bCs w:val="0"/>
          <w:sz w:val="28"/>
          <w:szCs w:val="28"/>
        </w:rPr>
        <w:t>期满后，若只征集到一个意向方，则协议成交；若征集到两个或两个以上意向方，则遵照相关规定，参与网络竞价。</w:t>
      </w:r>
    </w:p>
    <w:p w14:paraId="26FD15D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5</w:t>
      </w:r>
      <w:r>
        <w:rPr>
          <w:rFonts w:hint="eastAsia" w:ascii="Times New Roman" w:hAnsi="Times New Roman"/>
          <w:b w:val="0"/>
          <w:bCs w:val="0"/>
          <w:sz w:val="28"/>
          <w:szCs w:val="28"/>
        </w:rPr>
        <w:t>、已知悉并认可贵服务平台的收费项目及标准，同意按规定交纳相关费用。</w:t>
      </w:r>
    </w:p>
    <w:p w14:paraId="097DD54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6</w:t>
      </w:r>
      <w:r>
        <w:rPr>
          <w:rFonts w:hint="eastAsia" w:ascii="Times New Roman" w:hAnsi="Times New Roman"/>
          <w:b w:val="0"/>
          <w:bCs w:val="0"/>
          <w:sz w:val="28"/>
          <w:szCs w:val="28"/>
        </w:rPr>
        <w:t>、本次意向申请系我方真实意愿，一经作出不予撤回或变更，我方将及时办理相关手续，配合接受资格审核，严格遵守有关交易规则。</w:t>
      </w:r>
    </w:p>
    <w:p w14:paraId="4C2B20A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bookmarkStart w:id="17" w:name="_Toc28981"/>
      <w:bookmarkStart w:id="18" w:name="_Toc11532"/>
      <w:bookmarkStart w:id="19" w:name="_Toc13357"/>
      <w:r>
        <w:rPr>
          <w:rFonts w:ascii="Times New Roman" w:hAnsi="Times New Roman"/>
          <w:b w:val="0"/>
          <w:bCs w:val="0"/>
          <w:sz w:val="28"/>
          <w:szCs w:val="28"/>
        </w:rPr>
        <w:t>7</w:t>
      </w:r>
      <w:r>
        <w:rPr>
          <w:rFonts w:hint="eastAsia" w:ascii="Times New Roman" w:hAnsi="Times New Roman"/>
          <w:b w:val="0"/>
          <w:bCs w:val="0"/>
          <w:sz w:val="28"/>
          <w:szCs w:val="28"/>
        </w:rPr>
        <w:t>、我方承诺不通过其他渠道进行本项目交易。</w:t>
      </w:r>
      <w:bookmarkEnd w:id="17"/>
      <w:bookmarkEnd w:id="18"/>
      <w:bookmarkEnd w:id="19"/>
    </w:p>
    <w:p w14:paraId="1D4C02D3">
      <w:pPr>
        <w:pStyle w:val="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b w:val="0"/>
          <w:bCs w:val="0"/>
          <w:sz w:val="28"/>
          <w:szCs w:val="28"/>
        </w:rPr>
      </w:pPr>
      <w:r>
        <w:rPr>
          <w:rFonts w:hint="eastAsia" w:ascii="Times New Roman" w:hAnsi="Times New Roman" w:cs="Times New Roman"/>
          <w:b w:val="0"/>
          <w:bCs w:val="0"/>
          <w:sz w:val="28"/>
          <w:szCs w:val="28"/>
        </w:rPr>
        <w:t>8</w:t>
      </w:r>
      <w:r>
        <w:rPr>
          <w:rFonts w:hint="eastAsia" w:ascii="Times New Roman" w:hAnsi="Times New Roman" w:eastAsia="宋体" w:cs="Times New Roman"/>
          <w:b w:val="0"/>
          <w:bCs w:val="0"/>
          <w:sz w:val="28"/>
          <w:szCs w:val="28"/>
        </w:rPr>
        <w:t>、</w:t>
      </w:r>
      <w:r>
        <w:rPr>
          <w:rFonts w:hint="eastAsia" w:ascii="Times New Roman" w:hAnsi="Times New Roman" w:cs="Times New Roman"/>
          <w:b w:val="0"/>
          <w:bCs w:val="0"/>
          <w:sz w:val="28"/>
          <w:szCs w:val="28"/>
        </w:rPr>
        <w:t>我方承诺</w:t>
      </w:r>
      <w:r>
        <w:rPr>
          <w:rFonts w:hint="eastAsia" w:ascii="Times New Roman" w:hAnsi="Times New Roman" w:eastAsia="宋体" w:cs="Times New Roman"/>
          <w:b w:val="0"/>
          <w:bCs w:val="0"/>
          <w:sz w:val="28"/>
          <w:szCs w:val="28"/>
        </w:rPr>
        <w:t>在项目中标</w:t>
      </w:r>
      <w:r>
        <w:rPr>
          <w:rFonts w:hint="eastAsia" w:ascii="Times New Roman" w:hAnsi="Times New Roman" w:cs="Times New Roman"/>
          <w:b w:val="0"/>
          <w:bCs w:val="0"/>
          <w:sz w:val="28"/>
          <w:szCs w:val="28"/>
        </w:rPr>
        <w:t>收到《标的竞得书》之后的规定时间内，完成合同签订及相关事宜，合同签订期间禁止将中标项目转让他人。</w:t>
      </w:r>
    </w:p>
    <w:p w14:paraId="360E85C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hint="eastAsia" w:ascii="Times New Roman" w:hAnsi="Times New Roman"/>
          <w:b w:val="0"/>
          <w:bCs w:val="0"/>
          <w:sz w:val="28"/>
          <w:szCs w:val="28"/>
        </w:rPr>
        <w:t>9、我方承诺按平台规定交纳交易保证金，若我方无故放弃本项目或因我方自身原因放弃本项目的，视为违约，我方交纳的交易保证金将不予退还，作为违约金扣除。</w:t>
      </w:r>
    </w:p>
    <w:p w14:paraId="57C4176C">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bookmarkStart w:id="20" w:name="_Toc31003"/>
      <w:bookmarkStart w:id="21" w:name="_Toc7009"/>
      <w:bookmarkStart w:id="22" w:name="_Toc24611"/>
      <w:r>
        <w:rPr>
          <w:rFonts w:hint="eastAsia" w:ascii="Times New Roman" w:hAnsi="Times New Roman"/>
          <w:b w:val="0"/>
          <w:bCs w:val="0"/>
          <w:sz w:val="28"/>
          <w:szCs w:val="28"/>
        </w:rPr>
        <w:t>10、最终解释权归万宁农村产权交易中心。</w:t>
      </w:r>
      <w:bookmarkEnd w:id="20"/>
      <w:bookmarkEnd w:id="21"/>
      <w:bookmarkEnd w:id="22"/>
      <w:bookmarkStart w:id="23" w:name="_Toc29057"/>
      <w:bookmarkStart w:id="24" w:name="_Toc30986"/>
      <w:bookmarkStart w:id="25" w:name="_Toc4535"/>
    </w:p>
    <w:p w14:paraId="255EB8F2">
      <w:pPr>
        <w:pStyle w:val="2"/>
        <w:rPr>
          <w:rFonts w:hint="eastAsia"/>
        </w:rPr>
      </w:pPr>
    </w:p>
    <w:p w14:paraId="10C9EF9C">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rPr>
          <w:rFonts w:ascii="宋体" w:hAnsi="宋体" w:eastAsia="宋体" w:cs="宋体"/>
          <w:sz w:val="28"/>
          <w:szCs w:val="28"/>
          <w:u w:val="single"/>
        </w:rPr>
      </w:pPr>
      <w:r>
        <w:rPr>
          <w:rFonts w:hint="eastAsia" w:ascii="宋体" w:hAnsi="宋体" w:eastAsia="宋体" w:cs="宋体"/>
          <w:sz w:val="28"/>
          <w:szCs w:val="28"/>
        </w:rPr>
        <w:t>申 请 单 位（盖章）：</w:t>
      </w:r>
      <w:bookmarkEnd w:id="23"/>
      <w:bookmarkEnd w:id="24"/>
      <w:bookmarkEnd w:id="25"/>
      <w:r>
        <w:rPr>
          <w:rFonts w:hint="eastAsia" w:ascii="宋体" w:hAnsi="宋体" w:eastAsia="宋体" w:cs="宋体"/>
          <w:sz w:val="28"/>
          <w:szCs w:val="28"/>
          <w:u w:val="single"/>
        </w:rPr>
        <w:t xml:space="preserve">                                                    </w:t>
      </w:r>
    </w:p>
    <w:p w14:paraId="20B3A49A">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outlineLvl w:val="1"/>
        <w:rPr>
          <w:rFonts w:ascii="宋体" w:hAnsi="宋体" w:eastAsia="宋体" w:cs="宋体"/>
          <w:sz w:val="28"/>
          <w:szCs w:val="28"/>
          <w:u w:val="single"/>
        </w:rPr>
      </w:pPr>
      <w:bookmarkStart w:id="26" w:name="_Toc17490"/>
      <w:bookmarkStart w:id="27" w:name="_Toc9059"/>
      <w:r>
        <w:rPr>
          <w:rFonts w:hint="eastAsia" w:ascii="宋体" w:hAnsi="宋体" w:eastAsia="宋体" w:cs="宋体"/>
          <w:sz w:val="28"/>
          <w:szCs w:val="28"/>
        </w:rPr>
        <w:t>法定代表人（签字）：</w:t>
      </w:r>
      <w:bookmarkEnd w:id="26"/>
      <w:bookmarkEnd w:id="27"/>
      <w:r>
        <w:rPr>
          <w:rFonts w:hint="eastAsia" w:ascii="宋体" w:hAnsi="宋体" w:eastAsia="宋体" w:cs="宋体"/>
          <w:sz w:val="28"/>
          <w:szCs w:val="28"/>
          <w:u w:val="single"/>
        </w:rPr>
        <w:t xml:space="preserve">                          </w:t>
      </w:r>
    </w:p>
    <w:p w14:paraId="70168D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color w:val="000000"/>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申 请 日 期：</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bookmarkStart w:id="28" w:name="_Toc4580"/>
      <w:bookmarkStart w:id="29" w:name="_Toc11237"/>
      <w:bookmarkStart w:id="30" w:name="_Toc29841"/>
      <w:bookmarkStart w:id="31" w:name="_Toc32101"/>
      <w:bookmarkStart w:id="32" w:name="_Toc14469"/>
      <w:bookmarkStart w:id="33" w:name="_Toc13094"/>
      <w:bookmarkStart w:id="34" w:name="_Toc12264"/>
    </w:p>
    <w:p w14:paraId="20496DA0">
      <w:pPr>
        <w:pStyle w:val="3"/>
        <w:spacing w:line="240" w:lineRule="auto"/>
        <w:jc w:val="both"/>
        <w:rPr>
          <w:rFonts w:hint="eastAsia" w:ascii="黑体" w:hAnsi="黑体"/>
          <w:color w:val="000000"/>
        </w:rPr>
      </w:pPr>
    </w:p>
    <w:p w14:paraId="1AE7B9BE">
      <w:pPr>
        <w:pStyle w:val="3"/>
        <w:spacing w:line="240" w:lineRule="auto"/>
        <w:jc w:val="both"/>
        <w:rPr>
          <w:rFonts w:hint="eastAsia" w:ascii="黑体" w:hAnsi="黑体"/>
          <w:color w:val="000000"/>
        </w:rPr>
      </w:pPr>
    </w:p>
    <w:p w14:paraId="71E219E9">
      <w:pPr>
        <w:pStyle w:val="3"/>
        <w:spacing w:line="240" w:lineRule="auto"/>
        <w:jc w:val="both"/>
        <w:rPr>
          <w:rFonts w:hint="eastAsia" w:ascii="黑体" w:hAnsi="黑体"/>
          <w:color w:val="000000"/>
        </w:rPr>
      </w:pPr>
    </w:p>
    <w:p w14:paraId="17271D27">
      <w:pPr>
        <w:pStyle w:val="3"/>
        <w:spacing w:line="240" w:lineRule="auto"/>
        <w:jc w:val="both"/>
        <w:rPr>
          <w:rFonts w:hint="eastAsia" w:ascii="黑体" w:hAnsi="黑体"/>
          <w:color w:val="000000"/>
        </w:rPr>
      </w:pPr>
    </w:p>
    <w:p w14:paraId="5DE9CCB8">
      <w:pPr>
        <w:pStyle w:val="3"/>
        <w:spacing w:line="240" w:lineRule="auto"/>
        <w:jc w:val="both"/>
        <w:rPr>
          <w:rFonts w:hint="eastAsia" w:ascii="黑体" w:hAnsi="黑体"/>
          <w:color w:val="000000"/>
        </w:rPr>
      </w:pPr>
    </w:p>
    <w:p w14:paraId="08240FC7">
      <w:pPr>
        <w:pStyle w:val="3"/>
        <w:spacing w:line="240" w:lineRule="auto"/>
        <w:jc w:val="both"/>
        <w:rPr>
          <w:rFonts w:hint="eastAsia" w:ascii="黑体" w:hAnsi="黑体"/>
          <w:color w:val="000000"/>
        </w:rPr>
      </w:pPr>
    </w:p>
    <w:p w14:paraId="40BBD76C">
      <w:pPr>
        <w:pStyle w:val="3"/>
        <w:spacing w:line="240" w:lineRule="auto"/>
        <w:jc w:val="both"/>
        <w:rPr>
          <w:rFonts w:hint="eastAsia" w:ascii="黑体" w:hAnsi="黑体"/>
          <w:color w:val="000000"/>
        </w:rPr>
      </w:pPr>
    </w:p>
    <w:p w14:paraId="33E23419">
      <w:pPr>
        <w:rPr>
          <w:rFonts w:hint="eastAsia" w:ascii="黑体" w:hAnsi="黑体"/>
          <w:color w:val="000000"/>
        </w:rPr>
      </w:pPr>
    </w:p>
    <w:p w14:paraId="291E33E1">
      <w:pPr>
        <w:pStyle w:val="3"/>
        <w:spacing w:line="240" w:lineRule="auto"/>
        <w:jc w:val="center"/>
        <w:rPr>
          <w:rFonts w:ascii="黑体" w:hAnsi="黑体"/>
          <w:color w:val="000000"/>
        </w:rPr>
      </w:pPr>
      <w:r>
        <w:rPr>
          <w:rFonts w:hint="eastAsia" w:ascii="黑体" w:hAnsi="黑体"/>
          <w:color w:val="000000"/>
        </w:rPr>
        <w:t>意向承租方登记表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2D2F9225">
        <w:tblPrEx>
          <w:tblCellMar>
            <w:top w:w="0" w:type="dxa"/>
            <w:left w:w="0" w:type="dxa"/>
            <w:bottom w:w="0" w:type="dxa"/>
            <w:right w:w="0" w:type="dxa"/>
          </w:tblCellMar>
        </w:tblPrEx>
        <w:trPr>
          <w:trHeight w:val="853"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16A1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C539C2A">
            <w:pPr>
              <w:pStyle w:val="2"/>
              <w:spacing w:before="0" w:after="0" w:line="240" w:lineRule="auto"/>
              <w:jc w:val="center"/>
            </w:pPr>
          </w:p>
        </w:tc>
      </w:tr>
      <w:tr w14:paraId="54B212ED">
        <w:tblPrEx>
          <w:tblCellMar>
            <w:top w:w="0" w:type="dxa"/>
            <w:left w:w="0" w:type="dxa"/>
            <w:bottom w:w="0" w:type="dxa"/>
            <w:right w:w="0" w:type="dxa"/>
          </w:tblCellMar>
        </w:tblPrEx>
        <w:trPr>
          <w:trHeight w:val="487" w:hRule="atLeast"/>
          <w:jc w:val="center"/>
        </w:trPr>
        <w:tc>
          <w:tcPr>
            <w:tcW w:w="1413" w:type="dxa"/>
            <w:vMerge w:val="restart"/>
            <w:tcBorders>
              <w:top w:val="single" w:color="auto" w:sz="4" w:space="0"/>
              <w:left w:val="single" w:color="auto" w:sz="4" w:space="0"/>
              <w:right w:val="single" w:color="auto" w:sz="4" w:space="0"/>
            </w:tcBorders>
            <w:vAlign w:val="center"/>
          </w:tcPr>
          <w:p w14:paraId="2C686A57">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A76561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8D8EF66">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2D7B04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BDC0548">
            <w:pPr>
              <w:spacing w:line="360" w:lineRule="auto"/>
              <w:jc w:val="center"/>
              <w:rPr>
                <w:rFonts w:ascii="宋体" w:hAnsi="宋体" w:eastAsia="宋体"/>
                <w:sz w:val="22"/>
              </w:rPr>
            </w:pPr>
          </w:p>
        </w:tc>
      </w:tr>
      <w:tr w14:paraId="5DEA211B">
        <w:tblPrEx>
          <w:tblCellMar>
            <w:top w:w="0" w:type="dxa"/>
            <w:left w:w="0" w:type="dxa"/>
            <w:bottom w:w="0" w:type="dxa"/>
            <w:right w:w="0" w:type="dxa"/>
          </w:tblCellMar>
        </w:tblPrEx>
        <w:trPr>
          <w:trHeight w:val="434" w:hRule="atLeast"/>
          <w:jc w:val="center"/>
        </w:trPr>
        <w:tc>
          <w:tcPr>
            <w:tcW w:w="1413" w:type="dxa"/>
            <w:vMerge w:val="continue"/>
            <w:tcBorders>
              <w:left w:val="single" w:color="auto" w:sz="4" w:space="0"/>
              <w:bottom w:val="single" w:color="auto" w:sz="4" w:space="0"/>
              <w:right w:val="single" w:color="auto" w:sz="4" w:space="0"/>
            </w:tcBorders>
            <w:vAlign w:val="center"/>
          </w:tcPr>
          <w:p w14:paraId="540E819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BB8B86E">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21CD8E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CC2B6EE">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667576">
            <w:pPr>
              <w:spacing w:line="360" w:lineRule="auto"/>
              <w:rPr>
                <w:rFonts w:ascii="宋体" w:hAnsi="宋体" w:eastAsia="宋体"/>
                <w:sz w:val="22"/>
              </w:rPr>
            </w:pPr>
          </w:p>
        </w:tc>
      </w:tr>
      <w:tr w14:paraId="2AF803E8">
        <w:tblPrEx>
          <w:tblCellMar>
            <w:top w:w="0" w:type="dxa"/>
            <w:left w:w="0" w:type="dxa"/>
            <w:bottom w:w="0" w:type="dxa"/>
            <w:right w:w="0" w:type="dxa"/>
          </w:tblCellMar>
        </w:tblPrEx>
        <w:trPr>
          <w:cantSplit/>
          <w:trHeight w:val="47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1B776C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771A0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496FEA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95D00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0FDE31C">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23F3E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p>
        </w:tc>
      </w:tr>
      <w:tr w14:paraId="653BB4C1">
        <w:tblPrEx>
          <w:tblCellMar>
            <w:top w:w="0" w:type="dxa"/>
            <w:left w:w="0" w:type="dxa"/>
            <w:bottom w:w="0" w:type="dxa"/>
            <w:right w:w="0" w:type="dxa"/>
          </w:tblCellMar>
        </w:tblPrEx>
        <w:trPr>
          <w:cantSplit/>
          <w:trHeight w:val="50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9287E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AFCED02">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550F14B">
            <w:pPr>
              <w:spacing w:line="360" w:lineRule="auto"/>
              <w:jc w:val="center"/>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57A5B9">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E08E00">
            <w:pPr>
              <w:spacing w:line="360" w:lineRule="auto"/>
              <w:jc w:val="center"/>
              <w:rPr>
                <w:rFonts w:hint="default" w:ascii="宋体" w:hAnsi="宋体" w:eastAsia="宋体"/>
                <w:sz w:val="22"/>
                <w:lang w:val="en-US" w:eastAsia="zh-CN"/>
              </w:rPr>
            </w:pPr>
          </w:p>
        </w:tc>
      </w:tr>
      <w:tr w14:paraId="7671B972">
        <w:tblPrEx>
          <w:tblCellMar>
            <w:top w:w="0" w:type="dxa"/>
            <w:left w:w="0" w:type="dxa"/>
            <w:bottom w:w="0" w:type="dxa"/>
            <w:right w:w="0" w:type="dxa"/>
          </w:tblCellMar>
        </w:tblPrEx>
        <w:trPr>
          <w:cantSplit/>
          <w:trHeight w:val="47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3988C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D68C34">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16D423B">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1384C71">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5D5608">
            <w:pPr>
              <w:spacing w:line="360" w:lineRule="auto"/>
              <w:jc w:val="center"/>
              <w:rPr>
                <w:rFonts w:ascii="宋体" w:hAnsi="宋体" w:eastAsia="宋体"/>
                <w:sz w:val="22"/>
              </w:rPr>
            </w:pPr>
          </w:p>
        </w:tc>
      </w:tr>
      <w:tr w14:paraId="26138458">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512B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A76B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9E53B81">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940CA1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61C9CBA9">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B69083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3F041A8C">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33A00D9E">
        <w:tblPrEx>
          <w:tblCellMar>
            <w:top w:w="0" w:type="dxa"/>
            <w:left w:w="0" w:type="dxa"/>
            <w:bottom w:w="0" w:type="dxa"/>
            <w:right w:w="0" w:type="dxa"/>
          </w:tblCellMar>
        </w:tblPrEx>
        <w:trPr>
          <w:cantSplit/>
          <w:trHeight w:val="168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BE92A3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5DB18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E2FB67D">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02F7D3F7">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0C0537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6DD0C1B6">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C52F54D">
        <w:tblPrEx>
          <w:tblCellMar>
            <w:top w:w="0" w:type="dxa"/>
            <w:left w:w="0" w:type="dxa"/>
            <w:bottom w:w="0" w:type="dxa"/>
            <w:right w:w="0" w:type="dxa"/>
          </w:tblCellMar>
        </w:tblPrEx>
        <w:trPr>
          <w:cantSplit/>
          <w:trHeight w:val="42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C6362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DFFD648">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DFC12A">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3759A6D4">
        <w:tblPrEx>
          <w:tblCellMar>
            <w:top w:w="0" w:type="dxa"/>
            <w:left w:w="0" w:type="dxa"/>
            <w:bottom w:w="0" w:type="dxa"/>
            <w:right w:w="0" w:type="dxa"/>
          </w:tblCellMar>
        </w:tblPrEx>
        <w:trPr>
          <w:cantSplit/>
          <w:trHeight w:val="43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DFDB5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AB0B404">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09C9679">
            <w:pPr>
              <w:spacing w:line="360" w:lineRule="auto"/>
              <w:jc w:val="center"/>
              <w:rPr>
                <w:rFonts w:ascii="宋体" w:hAnsi="宋体" w:eastAsia="宋体"/>
                <w:sz w:val="22"/>
              </w:rPr>
            </w:pPr>
          </w:p>
        </w:tc>
      </w:tr>
      <w:tr w14:paraId="15DEA893">
        <w:tblPrEx>
          <w:tblCellMar>
            <w:top w:w="0" w:type="dxa"/>
            <w:left w:w="0" w:type="dxa"/>
            <w:bottom w:w="0" w:type="dxa"/>
            <w:right w:w="0" w:type="dxa"/>
          </w:tblCellMar>
        </w:tblPrEx>
        <w:trPr>
          <w:cantSplit/>
          <w:trHeight w:val="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2570A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72E77F">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1572ADB1">
            <w:pPr>
              <w:spacing w:line="360" w:lineRule="auto"/>
              <w:rPr>
                <w:rFonts w:ascii="宋体" w:hAnsi="宋体" w:eastAsia="宋体"/>
                <w:sz w:val="22"/>
              </w:rPr>
            </w:pPr>
          </w:p>
        </w:tc>
      </w:tr>
      <w:tr w14:paraId="3F3863CD">
        <w:tblPrEx>
          <w:tblCellMar>
            <w:top w:w="0" w:type="dxa"/>
            <w:left w:w="0" w:type="dxa"/>
            <w:bottom w:w="0" w:type="dxa"/>
            <w:right w:w="0" w:type="dxa"/>
          </w:tblCellMar>
        </w:tblPrEx>
        <w:trPr>
          <w:cantSplit/>
          <w:trHeight w:val="45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EA68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02363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55E3F8C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74EB67E3">
            <w:pPr>
              <w:spacing w:line="360" w:lineRule="auto"/>
              <w:ind w:left="48"/>
              <w:rPr>
                <w:rFonts w:ascii="宋体" w:hAnsi="宋体" w:eastAsia="宋体"/>
                <w:sz w:val="22"/>
              </w:rPr>
            </w:pPr>
            <w:r>
              <w:rPr>
                <w:rFonts w:hint="eastAsia" w:ascii="宋体" w:hAnsi="宋体" w:eastAsia="宋体"/>
                <w:sz w:val="22"/>
              </w:rPr>
              <w:t>报表时间：</w:t>
            </w:r>
          </w:p>
        </w:tc>
      </w:tr>
      <w:tr w14:paraId="62D1A31B">
        <w:tblPrEx>
          <w:tblCellMar>
            <w:top w:w="0" w:type="dxa"/>
            <w:left w:w="0" w:type="dxa"/>
            <w:bottom w:w="0" w:type="dxa"/>
            <w:right w:w="0" w:type="dxa"/>
          </w:tblCellMar>
        </w:tblPrEx>
        <w:trPr>
          <w:cantSplit/>
          <w:trHeight w:val="833"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21AC75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8333692">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41757B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总资产</w:t>
            </w:r>
          </w:p>
          <w:p w14:paraId="30C3CB79">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2BD1B639">
            <w:pPr>
              <w:pStyle w:val="16"/>
              <w:spacing w:line="360" w:lineRule="auto"/>
              <w:jc w:val="center"/>
            </w:pPr>
          </w:p>
          <w:p w14:paraId="022BC568"/>
        </w:tc>
        <w:tc>
          <w:tcPr>
            <w:tcW w:w="795" w:type="dxa"/>
            <w:gridSpan w:val="3"/>
            <w:tcBorders>
              <w:top w:val="single" w:color="auto" w:sz="4" w:space="0"/>
              <w:left w:val="single" w:color="auto" w:sz="4" w:space="0"/>
              <w:bottom w:val="single" w:color="auto" w:sz="4" w:space="0"/>
              <w:right w:val="single" w:color="auto" w:sz="4" w:space="0"/>
            </w:tcBorders>
            <w:vAlign w:val="center"/>
          </w:tcPr>
          <w:p w14:paraId="558A8103">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6D64D605">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pPr>
          </w:p>
          <w:p w14:paraId="753B7AF7">
            <w:pPr>
              <w:pStyle w:val="7"/>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E7EF5D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净资产</w:t>
            </w:r>
          </w:p>
          <w:p w14:paraId="3D8B3F88">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0C1278">
            <w:pPr>
              <w:pStyle w:val="16"/>
              <w:spacing w:line="360" w:lineRule="auto"/>
              <w:jc w:val="center"/>
              <w:rPr>
                <w:rFonts w:ascii="宋体" w:hAnsi="宋体" w:eastAsia="宋体"/>
                <w:sz w:val="22"/>
                <w:szCs w:val="24"/>
              </w:rPr>
            </w:pPr>
          </w:p>
        </w:tc>
      </w:tr>
      <w:tr w14:paraId="4551EDD4">
        <w:tblPrEx>
          <w:tblCellMar>
            <w:top w:w="0" w:type="dxa"/>
            <w:left w:w="0" w:type="dxa"/>
            <w:bottom w:w="0" w:type="dxa"/>
            <w:right w:w="0" w:type="dxa"/>
          </w:tblCellMar>
        </w:tblPrEx>
        <w:trPr>
          <w:cantSplit/>
          <w:trHeight w:val="44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11B831">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05DF91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26F8028">
        <w:tblPrEx>
          <w:tblCellMar>
            <w:top w:w="0" w:type="dxa"/>
            <w:left w:w="0" w:type="dxa"/>
            <w:bottom w:w="0" w:type="dxa"/>
            <w:right w:w="0" w:type="dxa"/>
          </w:tblCellMar>
        </w:tblPrEx>
        <w:trPr>
          <w:cantSplit/>
          <w:trHeight w:val="491"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46A9518">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77F005">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ABBE8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EA2751C">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10308D2D">
            <w:pPr>
              <w:spacing w:line="360" w:lineRule="auto"/>
              <w:jc w:val="center"/>
              <w:rPr>
                <w:rFonts w:hint="default" w:ascii="宋体" w:hAnsi="宋体" w:eastAsia="宋体"/>
                <w:sz w:val="22"/>
                <w:lang w:val="en-US" w:eastAsia="zh-CN"/>
              </w:rPr>
            </w:pPr>
          </w:p>
        </w:tc>
      </w:tr>
      <w:tr w14:paraId="202BA720">
        <w:tblPrEx>
          <w:tblCellMar>
            <w:top w:w="0" w:type="dxa"/>
            <w:left w:w="0" w:type="dxa"/>
            <w:bottom w:w="0" w:type="dxa"/>
            <w:right w:w="0" w:type="dxa"/>
          </w:tblCellMar>
        </w:tblPrEx>
        <w:trPr>
          <w:cantSplit/>
          <w:trHeight w:val="46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2331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C631F50">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CD07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F79B579">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42F974F">
            <w:pPr>
              <w:spacing w:line="360" w:lineRule="auto"/>
              <w:jc w:val="center"/>
              <w:rPr>
                <w:rFonts w:hint="default" w:ascii="宋体" w:hAnsi="宋体" w:eastAsia="宋体"/>
                <w:sz w:val="22"/>
                <w:lang w:val="en-US" w:eastAsia="zh-CN"/>
              </w:rPr>
            </w:pPr>
          </w:p>
        </w:tc>
      </w:tr>
      <w:tr w14:paraId="5B5CC1AF">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23904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0186F2D1">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2D650C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EAAD963">
        <w:tblPrEx>
          <w:tblCellMar>
            <w:top w:w="0" w:type="dxa"/>
            <w:left w:w="0" w:type="dxa"/>
            <w:bottom w:w="0" w:type="dxa"/>
            <w:right w:w="0" w:type="dxa"/>
          </w:tblCellMar>
        </w:tblPrEx>
        <w:trPr>
          <w:cantSplit/>
          <w:trHeight w:val="750"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41FB62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641502">
            <w:pPr>
              <w:spacing w:line="360" w:lineRule="auto"/>
              <w:rPr>
                <w:rFonts w:ascii="宋体" w:hAnsi="宋体" w:eastAsia="宋体"/>
                <w:sz w:val="22"/>
                <w:u w:val="single"/>
              </w:rPr>
            </w:pPr>
          </w:p>
        </w:tc>
      </w:tr>
      <w:tr w14:paraId="4F4304D4">
        <w:tblPrEx>
          <w:tblCellMar>
            <w:top w:w="0" w:type="dxa"/>
            <w:left w:w="0" w:type="dxa"/>
            <w:bottom w:w="0" w:type="dxa"/>
            <w:right w:w="0" w:type="dxa"/>
          </w:tblCellMar>
        </w:tblPrEx>
        <w:trPr>
          <w:cantSplit/>
          <w:trHeight w:val="602"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D49B5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1C93394">
            <w:pPr>
              <w:spacing w:line="360" w:lineRule="auto"/>
              <w:rPr>
                <w:rFonts w:hint="eastAsia" w:ascii="宋体" w:hAnsi="宋体" w:eastAsia="宋体"/>
                <w:sz w:val="22"/>
                <w:lang w:val="en-US" w:eastAsia="zh-CN"/>
              </w:rPr>
            </w:pPr>
          </w:p>
        </w:tc>
      </w:tr>
      <w:tr w14:paraId="799FDBD2">
        <w:tblPrEx>
          <w:tblCellMar>
            <w:top w:w="0" w:type="dxa"/>
            <w:left w:w="0" w:type="dxa"/>
            <w:bottom w:w="0" w:type="dxa"/>
            <w:right w:w="0" w:type="dxa"/>
          </w:tblCellMar>
        </w:tblPrEx>
        <w:trPr>
          <w:cantSplit/>
          <w:trHeight w:val="438"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C7A746E">
            <w:pPr>
              <w:spacing w:line="360" w:lineRule="auto"/>
              <w:jc w:val="center"/>
              <w:rPr>
                <w:rFonts w:ascii="宋体" w:hAnsi="宋体" w:eastAsia="宋体"/>
                <w:bCs/>
                <w:sz w:val="22"/>
              </w:rPr>
            </w:pPr>
            <w:r>
              <w:rPr>
                <w:rFonts w:hint="eastAsia" w:ascii="宋体" w:hAnsi="宋体" w:eastAsia="宋体"/>
                <w:bCs/>
                <w:sz w:val="22"/>
              </w:rPr>
              <w:t>附件</w:t>
            </w:r>
          </w:p>
          <w:p w14:paraId="4E2B7D9D">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152FE05">
            <w:pPr>
              <w:spacing w:line="24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79119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256E26F2">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5D4D0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240C42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E4378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072BAA3">
        <w:tblPrEx>
          <w:tblCellMar>
            <w:top w:w="0" w:type="dxa"/>
            <w:left w:w="0" w:type="dxa"/>
            <w:bottom w:w="0" w:type="dxa"/>
            <w:right w:w="0" w:type="dxa"/>
          </w:tblCellMar>
        </w:tblPrEx>
        <w:trPr>
          <w:cantSplit/>
          <w:trHeight w:val="48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CB5FFE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D26CB5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F09DD7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65D618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CFF535C">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B33CE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B2CB7F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2D7B6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208DE65">
            <w:pPr>
              <w:spacing w:line="360" w:lineRule="auto"/>
              <w:jc w:val="left"/>
              <w:rPr>
                <w:rFonts w:ascii="宋体" w:hAnsi="宋体" w:eastAsia="宋体"/>
                <w:sz w:val="22"/>
              </w:rPr>
            </w:pPr>
          </w:p>
        </w:tc>
      </w:tr>
      <w:tr w14:paraId="57E5B4CB">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9613F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A8582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6B52D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F650BD6">
            <w:pPr>
              <w:spacing w:line="360" w:lineRule="auto"/>
              <w:jc w:val="left"/>
              <w:rPr>
                <w:rFonts w:ascii="宋体" w:hAnsi="宋体" w:eastAsia="宋体"/>
                <w:sz w:val="22"/>
              </w:rPr>
            </w:pPr>
          </w:p>
        </w:tc>
      </w:tr>
      <w:tr w14:paraId="145FD1B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4278F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2207F4C6">
            <w:pPr>
              <w:spacing w:line="360" w:lineRule="auto"/>
              <w:jc w:val="center"/>
              <w:rPr>
                <w:rFonts w:ascii="宋体" w:hAnsi="宋体" w:eastAsia="宋体"/>
                <w:bCs/>
                <w:sz w:val="22"/>
              </w:rPr>
            </w:pPr>
            <w:r>
              <w:rPr>
                <w:rFonts w:hint="eastAsia" w:ascii="宋体" w:hAnsi="宋体" w:eastAsia="宋体"/>
                <w:bCs/>
                <w:sz w:val="22"/>
              </w:rPr>
              <w:t>法人单位</w:t>
            </w:r>
          </w:p>
          <w:p w14:paraId="3F3D36FC">
            <w:pPr>
              <w:spacing w:line="360" w:lineRule="auto"/>
              <w:jc w:val="center"/>
              <w:rPr>
                <w:rFonts w:ascii="宋体" w:hAnsi="宋体" w:eastAsia="宋体"/>
                <w:bCs/>
                <w:sz w:val="22"/>
              </w:rPr>
            </w:pPr>
            <w:r>
              <w:rPr>
                <w:rFonts w:hint="eastAsia" w:ascii="宋体" w:hAnsi="宋体" w:eastAsia="宋体"/>
                <w:bCs/>
                <w:sz w:val="22"/>
              </w:rPr>
              <w:t>（如农业企业，</w:t>
            </w:r>
          </w:p>
          <w:p w14:paraId="77D697C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68E26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2DABD68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36AE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199846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344FB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6A7C465F">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389EF6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1CF27C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3F17F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6C024CA">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B55E475">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BFFE1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DA175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197FE523">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23FB0C">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E67C02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29EA1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01495C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27E90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012F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1853F9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F00C88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0D745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1A712D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4400F4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bottom w:val="single" w:color="auto" w:sz="4" w:space="0"/>
              <w:right w:val="single" w:color="auto" w:sz="4" w:space="0"/>
            </w:tcBorders>
            <w:vAlign w:val="center"/>
          </w:tcPr>
          <w:p w14:paraId="1AF3383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306D5EF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12FC7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9F6C6E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2F91E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35815471">
            <w:pPr>
              <w:spacing w:line="360" w:lineRule="auto"/>
              <w:jc w:val="left"/>
              <w:rPr>
                <w:rFonts w:ascii="宋体" w:hAnsi="宋体" w:eastAsia="宋体"/>
                <w:sz w:val="22"/>
              </w:rPr>
            </w:pPr>
          </w:p>
        </w:tc>
      </w:tr>
      <w:tr w14:paraId="75B7A076">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0780102">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F310B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5AC7C4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710359">
            <w:pPr>
              <w:spacing w:line="360" w:lineRule="auto"/>
              <w:jc w:val="left"/>
              <w:rPr>
                <w:rFonts w:ascii="宋体" w:hAnsi="宋体" w:eastAsia="宋体"/>
                <w:sz w:val="22"/>
              </w:rPr>
            </w:pPr>
          </w:p>
        </w:tc>
      </w:tr>
      <w:tr w14:paraId="68C0DBF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5208D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E37E927">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2529F60">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D4E247D">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295C997">
            <w:pPr>
              <w:spacing w:line="360" w:lineRule="auto"/>
              <w:rPr>
                <w:rFonts w:ascii="宋体" w:hAnsi="宋体" w:eastAsia="宋体"/>
                <w:sz w:val="22"/>
              </w:rPr>
            </w:pPr>
          </w:p>
        </w:tc>
      </w:tr>
      <w:tr w14:paraId="590C05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F0A7C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58EF48">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CBDF16A">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AF511CC">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7156C9C">
            <w:pPr>
              <w:spacing w:line="360" w:lineRule="auto"/>
              <w:jc w:val="center"/>
              <w:rPr>
                <w:rFonts w:hint="default" w:ascii="宋体" w:hAnsi="宋体" w:eastAsia="宋体"/>
                <w:sz w:val="22"/>
                <w:lang w:val="en-US" w:eastAsia="zh-CN"/>
              </w:rPr>
            </w:pPr>
          </w:p>
        </w:tc>
      </w:tr>
    </w:tbl>
    <w:p w14:paraId="3B56AC5A">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7CAFA0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D00EE3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5BF5CF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62635155">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365E97B">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08B658B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5D9F8102">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0D20D8E">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rPr>
      </w:pPr>
      <w:r>
        <w:rPr>
          <w:rFonts w:hint="eastAsia" w:ascii="方正小标宋_GBK" w:hAnsi="方正小标宋_GBK" w:eastAsia="方正小标宋_GBK" w:cs="方正小标宋_GBK"/>
          <w:b/>
          <w:bCs/>
          <w:sz w:val="36"/>
          <w:szCs w:val="36"/>
          <w:lang w:val="en-US" w:eastAsia="zh-CN"/>
        </w:rPr>
        <w:t>万城镇红山村委会后山岭0.18亩土地出租项目交易</w:t>
      </w:r>
      <w:r>
        <w:rPr>
          <w:rFonts w:hint="eastAsia" w:ascii="方正小标宋_GBK" w:hAnsi="方正小标宋_GBK" w:eastAsia="方正小标宋_GBK" w:cs="方正小标宋_GBK"/>
          <w:b/>
          <w:bCs/>
          <w:sz w:val="36"/>
          <w:szCs w:val="36"/>
        </w:rPr>
        <w:t>公示</w:t>
      </w:r>
    </w:p>
    <w:p w14:paraId="4041E982">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p>
    <w:p w14:paraId="756D62CA">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none"/>
          <w:lang w:val="en-US" w:eastAsia="zh-CN"/>
        </w:rPr>
        <w:t>万宁</w:t>
      </w:r>
      <w:r>
        <w:rPr>
          <w:rFonts w:hint="eastAsia" w:asciiTheme="minorEastAsia" w:hAnsiTheme="minorEastAsia" w:cstheme="minorEastAsia"/>
          <w:sz w:val="32"/>
          <w:szCs w:val="32"/>
          <w:u w:val="none"/>
          <w:lang w:val="en-US" w:eastAsia="zh-CN"/>
        </w:rPr>
        <w:t>市</w:t>
      </w:r>
      <w:r>
        <w:rPr>
          <w:rFonts w:hint="eastAsia" w:asciiTheme="minorEastAsia" w:hAnsiTheme="minorEastAsia" w:cstheme="minorEastAsia"/>
          <w:sz w:val="32"/>
          <w:szCs w:val="32"/>
          <w:lang w:val="en-US" w:eastAsia="zh-CN"/>
        </w:rPr>
        <w:t>长丰镇</w:t>
      </w:r>
      <w:r>
        <w:rPr>
          <w:rFonts w:hint="eastAsia" w:asciiTheme="minorEastAsia" w:hAnsiTheme="minorEastAsia" w:eastAsiaTheme="minorEastAsia" w:cstheme="minorEastAsia"/>
          <w:sz w:val="32"/>
          <w:szCs w:val="32"/>
          <w:lang w:val="en-US" w:eastAsia="zh-CN"/>
        </w:rPr>
        <w:t>红山村委会</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sz w:val="32"/>
          <w:szCs w:val="32"/>
          <w:u w:val="single"/>
          <w:lang w:val="en-US" w:eastAsia="zh-CN"/>
        </w:rPr>
        <w:t>万城镇红山村委会后山岭0.18亩土地出租项目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万宁市农村产权交易中心管理平台</w:t>
      </w:r>
      <w:r>
        <w:rPr>
          <w:rFonts w:hint="eastAsia" w:asciiTheme="minorEastAsia" w:hAnsiTheme="minorEastAsia" w:eastAsiaTheme="minorEastAsia" w:cstheme="minorEastAsia"/>
          <w:sz w:val="32"/>
          <w:szCs w:val="32"/>
        </w:rPr>
        <w:t>（</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32"/>
          <w:szCs w:val="32"/>
        </w:rPr>
        <w:t>，以下简称“平台”）进行出租交易，依据《</w:t>
      </w:r>
      <w:r>
        <w:rPr>
          <w:rFonts w:hint="eastAsia" w:asciiTheme="minorEastAsia" w:hAnsiTheme="minorEastAsia" w:cstheme="minorEastAsia"/>
          <w:sz w:val="32"/>
          <w:szCs w:val="32"/>
          <w:lang w:val="en-US" w:eastAsia="zh-CN"/>
        </w:rPr>
        <w:t>万宁农村产权流转交易管理暂行办</w:t>
      </w:r>
      <w:r>
        <w:rPr>
          <w:rFonts w:hint="eastAsia" w:asciiTheme="minorEastAsia" w:hAnsiTheme="minorEastAsia" w:eastAsiaTheme="minorEastAsia" w:cstheme="minorEastAsia"/>
          <w:sz w:val="32"/>
          <w:szCs w:val="32"/>
        </w:rPr>
        <w:t>法》规定在平台挂牌交易，现将公示如下：</w:t>
      </w:r>
    </w:p>
    <w:p w14:paraId="4D4F804C">
      <w:pPr>
        <w:keepNext w:val="0"/>
        <w:keepLines w:val="0"/>
        <w:pageBreakBefore w:val="0"/>
        <w:widowControl w:val="0"/>
        <w:numPr>
          <w:ilvl w:val="0"/>
          <w:numId w:val="2"/>
        </w:numPr>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FABFEB6">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imes New Roman" w:hAnsi="Times New Roman"/>
          <w:sz w:val="28"/>
          <w:szCs w:val="28"/>
          <w:u w:val="none"/>
          <w:lang w:val="en-US" w:eastAsia="zh-CN"/>
        </w:rPr>
        <w:t>万城镇红山村委会后山岭0.18亩土地出租项目</w:t>
      </w:r>
    </w:p>
    <w:p w14:paraId="7061C83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imes New Roman" w:hAnsi="Times New Roman"/>
          <w:sz w:val="28"/>
          <w:szCs w:val="28"/>
          <w:u w:val="none"/>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Times New Roman" w:hAnsi="Times New Roman"/>
          <w:sz w:val="28"/>
          <w:szCs w:val="28"/>
          <w:u w:val="none"/>
          <w:lang w:val="en-US" w:eastAsia="zh-CN"/>
        </w:rPr>
        <w:t>万宁市万城镇红山村民委员会</w:t>
      </w:r>
    </w:p>
    <w:p w14:paraId="2C9F46C0">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出租面积：0.18亩</w:t>
      </w:r>
    </w:p>
    <w:p w14:paraId="41AC243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15年</w:t>
      </w:r>
    </w:p>
    <w:p w14:paraId="31C971B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sz w:val="28"/>
          <w:szCs w:val="28"/>
          <w:lang w:val="en-US" w:eastAsia="zh-CN"/>
        </w:rPr>
        <w:t>38000元（15年总价）</w:t>
      </w:r>
    </w:p>
    <w:p w14:paraId="1FA0EDCB">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7600</w:t>
      </w:r>
      <w:r>
        <w:rPr>
          <w:rFonts w:hint="eastAsia" w:asciiTheme="minorEastAsia" w:hAnsiTheme="minorEastAsia" w:eastAsiaTheme="minorEastAsia" w:cstheme="minorEastAsia"/>
          <w:b w:val="0"/>
          <w:bCs w:val="0"/>
          <w:color w:val="auto"/>
          <w:sz w:val="28"/>
          <w:szCs w:val="28"/>
          <w:highlight w:val="none"/>
          <w:u w:val="none"/>
          <w:lang w:val="en-US" w:eastAsia="zh-CN"/>
        </w:rPr>
        <w:t xml:space="preserve">元 </w:t>
      </w:r>
    </w:p>
    <w:p w14:paraId="239DB9E7">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30 17:00</w:t>
      </w:r>
      <w:r>
        <w:rPr>
          <w:rFonts w:hint="eastAsia" w:asciiTheme="minorEastAsia" w:hAnsiTheme="minorEastAsia" w:eastAsiaTheme="minorEastAsia" w:cstheme="minorEastAsia"/>
          <w:sz w:val="28"/>
          <w:szCs w:val="28"/>
        </w:rPr>
        <w:t>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08</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7EB0588F">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09</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09</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16:00</w:t>
      </w:r>
    </w:p>
    <w:p w14:paraId="1637B388">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租金一次性支付</w:t>
      </w:r>
      <w:bookmarkStart w:id="36" w:name="_GoBack"/>
      <w:bookmarkEnd w:id="36"/>
      <w:r>
        <w:rPr>
          <w:rFonts w:hint="eastAsia" w:asciiTheme="minorEastAsia" w:hAnsiTheme="minorEastAsia" w:eastAsiaTheme="minorEastAsia" w:cstheme="minorEastAsia"/>
          <w:sz w:val="28"/>
          <w:szCs w:val="28"/>
          <w:lang w:val="en-US" w:eastAsia="zh-CN"/>
        </w:rPr>
        <w:t>。</w:t>
      </w:r>
    </w:p>
    <w:p w14:paraId="4D8CAB01">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8574AAD">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0C7C4B84">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18876974625</w:t>
      </w:r>
    </w:p>
    <w:p w14:paraId="659F63DA">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eastAsia="zh-CN"/>
        </w:rPr>
        <w:t>万宁市万城镇阳光小区一区</w:t>
      </w:r>
      <w:r>
        <w:rPr>
          <w:rFonts w:hint="eastAsia" w:asciiTheme="minorEastAsia" w:hAnsiTheme="minorEastAsia" w:cstheme="minorEastAsia"/>
          <w:sz w:val="28"/>
          <w:szCs w:val="28"/>
          <w:lang w:val="en-US" w:eastAsia="zh-CN"/>
        </w:rPr>
        <w:t>17-18号铺面</w:t>
      </w:r>
    </w:p>
    <w:p w14:paraId="0834F28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ascii="宋体" w:hAnsi="宋体" w:eastAsia="宋体" w:cs="宋体"/>
          <w:sz w:val="28"/>
          <w:szCs w:val="28"/>
          <w:u w:val="single"/>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28"/>
          <w:szCs w:val="28"/>
        </w:rPr>
        <w:t>查看，以网站项目详情页为准</w:t>
      </w:r>
    </w:p>
    <w:p w14:paraId="648D3092">
      <w:pPr>
        <w:pStyle w:val="5"/>
        <w:keepNext w:val="0"/>
        <w:keepLines w:val="0"/>
        <w:pageBreakBefore w:val="0"/>
        <w:widowControl w:val="0"/>
        <w:kinsoku/>
        <w:overflowPunct/>
        <w:topLinePunct w:val="0"/>
        <w:autoSpaceDE/>
        <w:autoSpaceDN/>
        <w:bidi w:val="0"/>
        <w:adjustRightInd/>
        <w:snapToGrid/>
        <w:spacing w:line="560" w:lineRule="exact"/>
        <w:ind w:left="0" w:leftChars="0" w:firstLine="0" w:firstLineChars="0"/>
        <w:jc w:val="both"/>
        <w:textAlignment w:val="auto"/>
        <w:rPr>
          <w:rFonts w:hint="eastAsia"/>
          <w:b/>
          <w:bCs/>
          <w:sz w:val="28"/>
          <w:szCs w:val="36"/>
        </w:rPr>
      </w:pPr>
    </w:p>
    <w:p w14:paraId="303D2C2D">
      <w:pPr>
        <w:pStyle w:val="5"/>
        <w:keepNext w:val="0"/>
        <w:keepLines w:val="0"/>
        <w:pageBreakBefore w:val="0"/>
        <w:widowControl w:val="0"/>
        <w:kinsoku/>
        <w:overflowPunct/>
        <w:topLinePunct w:val="0"/>
        <w:autoSpaceDE/>
        <w:autoSpaceDN/>
        <w:bidi w:val="0"/>
        <w:adjustRightInd/>
        <w:snapToGrid/>
        <w:spacing w:line="560" w:lineRule="exact"/>
        <w:jc w:val="right"/>
        <w:textAlignment w:val="auto"/>
        <w:rPr>
          <w:b/>
          <w:bCs/>
          <w:sz w:val="28"/>
          <w:szCs w:val="36"/>
        </w:rPr>
      </w:pPr>
      <w:r>
        <w:rPr>
          <w:rFonts w:hint="eastAsia"/>
          <w:b/>
          <w:bCs/>
          <w:sz w:val="28"/>
          <w:szCs w:val="36"/>
        </w:rPr>
        <w:t>已详细阅读此交易公示，对此交易公示内容无异议。</w:t>
      </w:r>
    </w:p>
    <w:p w14:paraId="784C7A27">
      <w:pPr>
        <w:pStyle w:val="5"/>
        <w:keepNext w:val="0"/>
        <w:keepLines w:val="0"/>
        <w:pageBreakBefore w:val="0"/>
        <w:widowControl w:val="0"/>
        <w:kinsoku/>
        <w:wordWrap w:val="0"/>
        <w:overflowPunct/>
        <w:topLinePunct w:val="0"/>
        <w:autoSpaceDE/>
        <w:autoSpaceDN/>
        <w:bidi w:val="0"/>
        <w:adjustRightInd/>
        <w:snapToGrid/>
        <w:spacing w:line="5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45104FCD">
      <w:pPr>
        <w:keepNext w:val="0"/>
        <w:keepLines w:val="0"/>
        <w:pageBreakBefore w:val="0"/>
        <w:widowControl w:val="0"/>
        <w:kinsoku/>
        <w:overflowPunct/>
        <w:topLinePunct w:val="0"/>
        <w:autoSpaceDE/>
        <w:autoSpaceDN/>
        <w:bidi w:val="0"/>
        <w:adjustRightInd/>
        <w:snapToGrid/>
        <w:spacing w:line="560" w:lineRule="exact"/>
        <w:textAlignment w:val="auto"/>
      </w:pPr>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468AEF50">
      <w:pPr>
        <w:pStyle w:val="7"/>
        <w:rPr>
          <w:rFonts w:hint="eastAsia" w:eastAsiaTheme="minorEastAsia"/>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s>
  <w:rsids>
    <w:rsidRoot w:val="00125DA0"/>
    <w:rsid w:val="00075E67"/>
    <w:rsid w:val="00125DA0"/>
    <w:rsid w:val="00167AC6"/>
    <w:rsid w:val="00B57B36"/>
    <w:rsid w:val="00CD7376"/>
    <w:rsid w:val="00E03B4E"/>
    <w:rsid w:val="00E541D7"/>
    <w:rsid w:val="0433060F"/>
    <w:rsid w:val="05F87CF2"/>
    <w:rsid w:val="09D173C2"/>
    <w:rsid w:val="0A8721A0"/>
    <w:rsid w:val="0B7B2128"/>
    <w:rsid w:val="0B985CD3"/>
    <w:rsid w:val="0CF53DF2"/>
    <w:rsid w:val="0D481592"/>
    <w:rsid w:val="0E9816ED"/>
    <w:rsid w:val="10023884"/>
    <w:rsid w:val="10396E71"/>
    <w:rsid w:val="106154C2"/>
    <w:rsid w:val="11DE52CB"/>
    <w:rsid w:val="150A3847"/>
    <w:rsid w:val="159D7E8F"/>
    <w:rsid w:val="17B14F0F"/>
    <w:rsid w:val="18E10F33"/>
    <w:rsid w:val="1A0C35CC"/>
    <w:rsid w:val="1B1F6F02"/>
    <w:rsid w:val="1ED263B1"/>
    <w:rsid w:val="2163678E"/>
    <w:rsid w:val="22CE377D"/>
    <w:rsid w:val="23C4301C"/>
    <w:rsid w:val="2741574C"/>
    <w:rsid w:val="280D7784"/>
    <w:rsid w:val="2A812A38"/>
    <w:rsid w:val="2BBF3F35"/>
    <w:rsid w:val="2C765212"/>
    <w:rsid w:val="2F430136"/>
    <w:rsid w:val="327E6635"/>
    <w:rsid w:val="34B561E0"/>
    <w:rsid w:val="3516702D"/>
    <w:rsid w:val="356B5D48"/>
    <w:rsid w:val="360C2A68"/>
    <w:rsid w:val="37E601A9"/>
    <w:rsid w:val="3A2A42C7"/>
    <w:rsid w:val="3A7A2C02"/>
    <w:rsid w:val="3AD13F00"/>
    <w:rsid w:val="3C68729C"/>
    <w:rsid w:val="3EE84C2D"/>
    <w:rsid w:val="42D30665"/>
    <w:rsid w:val="43091261"/>
    <w:rsid w:val="43315BEC"/>
    <w:rsid w:val="436B7E26"/>
    <w:rsid w:val="43AD1C7C"/>
    <w:rsid w:val="448F60EF"/>
    <w:rsid w:val="44912C24"/>
    <w:rsid w:val="47C03328"/>
    <w:rsid w:val="4B7871A3"/>
    <w:rsid w:val="4D440E1C"/>
    <w:rsid w:val="4DC33073"/>
    <w:rsid w:val="4E1E21AE"/>
    <w:rsid w:val="4E3C20F3"/>
    <w:rsid w:val="4E3F7559"/>
    <w:rsid w:val="4ECE0172"/>
    <w:rsid w:val="50BA41D3"/>
    <w:rsid w:val="511440E8"/>
    <w:rsid w:val="51516E47"/>
    <w:rsid w:val="520E4D2A"/>
    <w:rsid w:val="58CA1275"/>
    <w:rsid w:val="5BFE83A9"/>
    <w:rsid w:val="5CF93C67"/>
    <w:rsid w:val="5EB770B5"/>
    <w:rsid w:val="5FDF7756"/>
    <w:rsid w:val="61415435"/>
    <w:rsid w:val="620615AE"/>
    <w:rsid w:val="62BB15CB"/>
    <w:rsid w:val="63585F8B"/>
    <w:rsid w:val="63673051"/>
    <w:rsid w:val="64515E2E"/>
    <w:rsid w:val="64D61FAB"/>
    <w:rsid w:val="67123CDA"/>
    <w:rsid w:val="67506089"/>
    <w:rsid w:val="67FA4700"/>
    <w:rsid w:val="6B253480"/>
    <w:rsid w:val="6C4E28D1"/>
    <w:rsid w:val="6D086E39"/>
    <w:rsid w:val="6DC54215"/>
    <w:rsid w:val="6FB33DC4"/>
    <w:rsid w:val="73890868"/>
    <w:rsid w:val="741E70FE"/>
    <w:rsid w:val="751E5042"/>
    <w:rsid w:val="753E57CF"/>
    <w:rsid w:val="754D7ECF"/>
    <w:rsid w:val="76260789"/>
    <w:rsid w:val="77295E93"/>
    <w:rsid w:val="786A7F85"/>
    <w:rsid w:val="791505B4"/>
    <w:rsid w:val="7A7C6A82"/>
    <w:rsid w:val="7EC1633B"/>
    <w:rsid w:val="ED7BC43D"/>
    <w:rsid w:val="F9CF7723"/>
    <w:rsid w:val="FDFDF913"/>
    <w:rsid w:val="FF3F2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6578</Words>
  <Characters>6990</Characters>
  <Lines>59</Lines>
  <Paragraphs>16</Paragraphs>
  <TotalTime>3</TotalTime>
  <ScaleCrop>false</ScaleCrop>
  <LinksUpToDate>false</LinksUpToDate>
  <CharactersWithSpaces>7422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2024-02-20T22:17:00Z</dcterms:created>
  <dc:creator>Administrator</dc:creator>
  <cp:lastModifiedBy>Administrator</cp:lastModifiedBy>
  <cp:lastPrinted>2025-09-11T00:32:00Z</cp:lastPrinted>
  <dcterms:modified xsi:type="dcterms:W3CDTF">2025-12-30T08:06:57Z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20AC137FAD8B4ECFA527CF826819C021_13</vt:lpwstr>
  </property>
  <property fmtid="{D5CDD505-2E9C-101B-9397-08002B2CF9AE}" pid="4" name="KSOTemplateDocerSaveRecord">
    <vt:lpwstr>eyJoZGlkIjoiYWVkMzU1N2RjOWQ3NTRhODRjYWRjN2JjMTU0MGJiZGYifQ==</vt:lpwstr>
  </property>
</Properties>
</file>