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32320"/>
      <w:bookmarkStart w:id="2" w:name="_Toc21422"/>
      <w:bookmarkStart w:id="3" w:name="_Toc20910"/>
      <w:bookmarkStart w:id="4" w:name="_Toc11918"/>
      <w:bookmarkStart w:id="5" w:name="_Toc15737"/>
      <w:bookmarkStart w:id="6" w:name="_Toc24454"/>
      <w:bookmarkStart w:id="7" w:name="_Toc21762"/>
      <w:bookmarkStart w:id="8" w:name="_Toc8396"/>
      <w:bookmarkStart w:id="9" w:name="_Toc24727"/>
      <w:bookmarkStart w:id="10" w:name="_Toc24068"/>
      <w:bookmarkStart w:id="11" w:name="_Toc13462"/>
      <w:bookmarkStart w:id="12" w:name="_Toc12789"/>
      <w:bookmarkStart w:id="13" w:name="_Toc25712"/>
      <w:bookmarkStart w:id="14" w:name="_Toc7615"/>
      <w:bookmarkStart w:id="15" w:name="_Toc2900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临高县临城镇奇地村委会48亩集体土地出租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48</w:t>
      </w:r>
      <w:bookmarkStart w:id="36" w:name="_GoBack"/>
      <w:bookmarkEnd w:id="36"/>
      <w:r>
        <w:rPr>
          <w:rFonts w:hint="eastAsia" w:ascii="新宋体" w:hAnsi="新宋体" w:eastAsia="新宋体" w:cs="Times New Roman"/>
          <w:sz w:val="28"/>
          <w:szCs w:val="28"/>
          <w:lang w:val="en-US" w:eastAsia="zh-CN"/>
        </w:rPr>
        <w:t>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24000</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1-12日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临高县临城镇奇地村委会48亩集体土地出租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临高县临城镇奇地村委会48亩集体土地出租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临高县临城镇奇地村委会48亩集体土地出租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临高县临城镇奇地村委会48亩集体土地出租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3094"/>
      <w:bookmarkStart w:id="29" w:name="_Toc12264"/>
      <w:bookmarkStart w:id="30" w:name="_Toc29841"/>
      <w:bookmarkStart w:id="31" w:name="_Toc4580"/>
      <w:bookmarkStart w:id="32" w:name="_Toc32101"/>
      <w:bookmarkStart w:id="33" w:name="_Toc11237"/>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5F34F3AA">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临高县临城镇奇地村委会48亩集体土地出租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临高县临城镇奇地村民委员会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临高县临城镇奇地村委会48亩集体土地出租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临高县临城镇奇地村委会48亩集体土地</w:t>
      </w:r>
      <w:r>
        <w:rPr>
          <w:rFonts w:hint="eastAsia" w:asciiTheme="minorEastAsia" w:hAnsiTheme="minorEastAsia" w:cstheme="minorEastAsia"/>
          <w:color w:val="C00000"/>
          <w:sz w:val="32"/>
          <w:szCs w:val="32"/>
          <w:lang w:val="en-US" w:eastAsia="zh-CN"/>
        </w:rPr>
        <w:t>出租</w:t>
      </w:r>
    </w:p>
    <w:p w14:paraId="080C30BF">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出租包方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临高县临城镇奇地村民委员会</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48亩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24000元/年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：4800元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61CDB"/>
    <w:rsid w:val="09077801"/>
    <w:rsid w:val="0A8721A0"/>
    <w:rsid w:val="0ADD2F10"/>
    <w:rsid w:val="0B7B2128"/>
    <w:rsid w:val="0B985CD3"/>
    <w:rsid w:val="0CD67C16"/>
    <w:rsid w:val="0E1C5E37"/>
    <w:rsid w:val="0E9816ED"/>
    <w:rsid w:val="0EF64BA6"/>
    <w:rsid w:val="10396E71"/>
    <w:rsid w:val="105772C0"/>
    <w:rsid w:val="11A6405B"/>
    <w:rsid w:val="11DE52CB"/>
    <w:rsid w:val="132D209C"/>
    <w:rsid w:val="1399374C"/>
    <w:rsid w:val="148D1503"/>
    <w:rsid w:val="150A3847"/>
    <w:rsid w:val="16C136E5"/>
    <w:rsid w:val="16CD3E38"/>
    <w:rsid w:val="16D93709"/>
    <w:rsid w:val="186B3909"/>
    <w:rsid w:val="18E10F33"/>
    <w:rsid w:val="19A215AC"/>
    <w:rsid w:val="1A0C35CC"/>
    <w:rsid w:val="1A626F8D"/>
    <w:rsid w:val="1CE74D57"/>
    <w:rsid w:val="1D3A4E38"/>
    <w:rsid w:val="205C18F7"/>
    <w:rsid w:val="20BE4E97"/>
    <w:rsid w:val="2163678E"/>
    <w:rsid w:val="23C4301C"/>
    <w:rsid w:val="25B52667"/>
    <w:rsid w:val="266F29B9"/>
    <w:rsid w:val="2741574C"/>
    <w:rsid w:val="27EC60E8"/>
    <w:rsid w:val="28A86B34"/>
    <w:rsid w:val="29A96C5C"/>
    <w:rsid w:val="2BD1187D"/>
    <w:rsid w:val="2C3A38C6"/>
    <w:rsid w:val="2C765212"/>
    <w:rsid w:val="2CD755B9"/>
    <w:rsid w:val="2DEA30CA"/>
    <w:rsid w:val="2F120B2A"/>
    <w:rsid w:val="2F762E67"/>
    <w:rsid w:val="2FA8323D"/>
    <w:rsid w:val="30AA01BC"/>
    <w:rsid w:val="30B56AE1"/>
    <w:rsid w:val="30CE55FA"/>
    <w:rsid w:val="317C672F"/>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D124BF3"/>
    <w:rsid w:val="3D922FE7"/>
    <w:rsid w:val="3DB159B2"/>
    <w:rsid w:val="3EE84C2D"/>
    <w:rsid w:val="3F220916"/>
    <w:rsid w:val="40176161"/>
    <w:rsid w:val="409F10ED"/>
    <w:rsid w:val="42EC1909"/>
    <w:rsid w:val="43315BEC"/>
    <w:rsid w:val="43AD1C7C"/>
    <w:rsid w:val="43CC52F4"/>
    <w:rsid w:val="4486772E"/>
    <w:rsid w:val="44912C24"/>
    <w:rsid w:val="477C493B"/>
    <w:rsid w:val="47C03328"/>
    <w:rsid w:val="47D604EF"/>
    <w:rsid w:val="48350522"/>
    <w:rsid w:val="48F422BB"/>
    <w:rsid w:val="4A7A6DBA"/>
    <w:rsid w:val="4AC5484B"/>
    <w:rsid w:val="4BBA1ED6"/>
    <w:rsid w:val="4C122427"/>
    <w:rsid w:val="4C2707BD"/>
    <w:rsid w:val="4CD73773"/>
    <w:rsid w:val="4D440E1C"/>
    <w:rsid w:val="4DC33073"/>
    <w:rsid w:val="4E3F7559"/>
    <w:rsid w:val="4E9904C8"/>
    <w:rsid w:val="4ECE0172"/>
    <w:rsid w:val="4FF97471"/>
    <w:rsid w:val="50804CA1"/>
    <w:rsid w:val="51516E47"/>
    <w:rsid w:val="551123C4"/>
    <w:rsid w:val="5A3115B5"/>
    <w:rsid w:val="5A47702B"/>
    <w:rsid w:val="5ABA3CA0"/>
    <w:rsid w:val="5AFE6760"/>
    <w:rsid w:val="5B3C46B5"/>
    <w:rsid w:val="5BD329C8"/>
    <w:rsid w:val="5CF93C67"/>
    <w:rsid w:val="618B7514"/>
    <w:rsid w:val="62920BC0"/>
    <w:rsid w:val="637A7D59"/>
    <w:rsid w:val="639B14F1"/>
    <w:rsid w:val="64515E2E"/>
    <w:rsid w:val="64D61FAB"/>
    <w:rsid w:val="6549634D"/>
    <w:rsid w:val="674072DB"/>
    <w:rsid w:val="68790CF7"/>
    <w:rsid w:val="68D777CC"/>
    <w:rsid w:val="69A739D7"/>
    <w:rsid w:val="6A154A4F"/>
    <w:rsid w:val="6C3F7B62"/>
    <w:rsid w:val="6C8E0AE9"/>
    <w:rsid w:val="6D30394E"/>
    <w:rsid w:val="6D7952F5"/>
    <w:rsid w:val="6EA63EC8"/>
    <w:rsid w:val="7020414E"/>
    <w:rsid w:val="713559D7"/>
    <w:rsid w:val="73C6500C"/>
    <w:rsid w:val="740D49E9"/>
    <w:rsid w:val="76312BA1"/>
    <w:rsid w:val="786A7F85"/>
    <w:rsid w:val="791505B4"/>
    <w:rsid w:val="79705177"/>
    <w:rsid w:val="7A7C6A82"/>
    <w:rsid w:val="7A8615E4"/>
    <w:rsid w:val="7C4F3DF1"/>
    <w:rsid w:val="7D051392"/>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6942</Words>
  <Characters>7389</Characters>
  <Lines>59</Lines>
  <Paragraphs>16</Paragraphs>
  <TotalTime>3</TotalTime>
  <ScaleCrop>false</ScaleCrop>
  <LinksUpToDate>false</LinksUpToDate>
  <CharactersWithSpaces>7880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2025-12-30T10:07:14Z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