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598ECE">
      <w:pPr>
        <w:keepNext w:val="0"/>
        <w:keepLines w:val="0"/>
        <w:pageBreakBefore w:val="0"/>
        <w:widowControl w:val="0"/>
        <w:kinsoku/>
        <w:wordWrap/>
        <w:overflowPunct/>
        <w:topLinePunct w:val="0"/>
        <w:autoSpaceDE/>
        <w:autoSpaceDN/>
        <w:bidi w:val="0"/>
        <w:snapToGrid/>
        <w:spacing w:line="590" w:lineRule="exact"/>
        <w:ind w:right="600"/>
        <w:rPr>
          <w:rFonts w:hint="eastAsia" w:ascii="仿宋_GB2312" w:eastAsia="仿宋_GB2312"/>
          <w:bCs/>
          <w:color w:val="000000"/>
          <w:sz w:val="32"/>
          <w:szCs w:val="32"/>
        </w:rPr>
      </w:pPr>
      <w:r>
        <w:rPr>
          <w:rFonts w:hint="eastAsia" w:ascii="仿宋_GB2312" w:eastAsia="仿宋_GB2312"/>
          <w:bCs/>
          <w:color w:val="000000"/>
          <w:sz w:val="32"/>
          <w:szCs w:val="32"/>
        </w:rPr>
        <w:t>合 同 编 号</w:t>
      </w:r>
      <w:r>
        <w:rPr>
          <w:rFonts w:hint="eastAsia" w:ascii="仿宋_GB2312" w:eastAsia="仿宋_GB2312"/>
          <w:bCs/>
          <w:color w:val="000000"/>
          <w:sz w:val="32"/>
          <w:szCs w:val="32"/>
          <w:lang w:val="en-US" w:eastAsia="zh-CN"/>
        </w:rPr>
        <w:t xml:space="preserve"> </w:t>
      </w:r>
      <w:r>
        <w:rPr>
          <w:rFonts w:hint="eastAsia" w:ascii="仿宋_GB2312" w:eastAsia="仿宋_GB2312"/>
          <w:bCs/>
          <w:color w:val="000000"/>
          <w:sz w:val="32"/>
          <w:szCs w:val="32"/>
        </w:rPr>
        <w:t>：</w:t>
      </w:r>
      <w:r>
        <w:rPr>
          <w:rFonts w:hint="eastAsia" w:ascii="仿宋_GB2312" w:eastAsia="仿宋_GB2312"/>
          <w:bCs/>
          <w:color w:val="000000"/>
          <w:sz w:val="32"/>
          <w:szCs w:val="32"/>
          <w:u w:val="single"/>
        </w:rPr>
        <w:t xml:space="preserve">                   </w:t>
      </w:r>
    </w:p>
    <w:p w14:paraId="29451AF3">
      <w:pPr>
        <w:keepNext w:val="0"/>
        <w:keepLines w:val="0"/>
        <w:pageBreakBefore w:val="0"/>
        <w:widowControl w:val="0"/>
        <w:kinsoku/>
        <w:wordWrap/>
        <w:overflowPunct/>
        <w:topLinePunct w:val="0"/>
        <w:autoSpaceDE/>
        <w:autoSpaceDN/>
        <w:bidi w:val="0"/>
        <w:snapToGrid/>
        <w:spacing w:line="590" w:lineRule="exact"/>
        <w:ind w:right="600"/>
        <w:jc w:val="left"/>
        <w:rPr>
          <w:rFonts w:hint="eastAsia" w:ascii="仿宋_GB2312" w:eastAsia="仿宋_GB2312"/>
          <w:bCs/>
          <w:color w:val="000000"/>
          <w:sz w:val="32"/>
          <w:szCs w:val="32"/>
        </w:rPr>
      </w:pPr>
      <w:r>
        <w:rPr>
          <w:rFonts w:hint="eastAsia" w:ascii="仿宋_GB2312" w:eastAsia="仿宋_GB2312"/>
          <w:bCs/>
          <w:color w:val="000000"/>
          <w:sz w:val="32"/>
          <w:szCs w:val="32"/>
        </w:rPr>
        <w:t>合同签订地点：</w:t>
      </w:r>
      <w:r>
        <w:rPr>
          <w:rFonts w:hint="eastAsia" w:ascii="仿宋_GB2312" w:eastAsia="仿宋_GB2312"/>
          <w:bCs/>
          <w:color w:val="000000"/>
          <w:sz w:val="32"/>
          <w:szCs w:val="32"/>
          <w:u w:val="single"/>
        </w:rPr>
        <w:t xml:space="preserve">  屯昌县</w:t>
      </w:r>
      <w:r>
        <w:rPr>
          <w:rFonts w:hint="eastAsia" w:ascii="仿宋_GB2312" w:eastAsia="仿宋_GB2312"/>
          <w:bCs/>
          <w:color w:val="000000"/>
          <w:sz w:val="32"/>
          <w:szCs w:val="32"/>
          <w:u w:val="single"/>
          <w:lang w:val="en-US" w:eastAsia="zh-CN"/>
        </w:rPr>
        <w:t>储备粮油物资管理供应有限公司二楼</w:t>
      </w:r>
      <w:r>
        <w:rPr>
          <w:rFonts w:hint="eastAsia" w:ascii="仿宋_GB2312" w:eastAsia="仿宋_GB2312"/>
          <w:bCs/>
          <w:color w:val="000000"/>
          <w:sz w:val="32"/>
          <w:szCs w:val="32"/>
          <w:u w:val="single"/>
        </w:rPr>
        <w:t xml:space="preserve"> </w:t>
      </w:r>
    </w:p>
    <w:p w14:paraId="46FCF9E2">
      <w:pPr>
        <w:keepNext w:val="0"/>
        <w:keepLines w:val="0"/>
        <w:pageBreakBefore w:val="0"/>
        <w:widowControl w:val="0"/>
        <w:kinsoku/>
        <w:wordWrap/>
        <w:overflowPunct/>
        <w:topLinePunct w:val="0"/>
        <w:autoSpaceDE/>
        <w:autoSpaceDN/>
        <w:bidi w:val="0"/>
        <w:snapToGrid/>
        <w:spacing w:line="590" w:lineRule="exact"/>
        <w:jc w:val="left"/>
        <w:rPr>
          <w:rFonts w:hint="eastAsia" w:ascii="仿宋_GB2312" w:eastAsia="仿宋_GB2312"/>
          <w:color w:val="000000"/>
          <w:sz w:val="32"/>
          <w:szCs w:val="32"/>
        </w:rPr>
      </w:pPr>
    </w:p>
    <w:p w14:paraId="0FDBD1B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屯昌县</w:t>
      </w:r>
      <w:r>
        <w:rPr>
          <w:rFonts w:hint="eastAsia" w:ascii="方正小标宋_GBK" w:hAnsi="宋体" w:eastAsia="方正小标宋_GBK"/>
          <w:color w:val="000000"/>
          <w:w w:val="95"/>
          <w:sz w:val="44"/>
          <w:szCs w:val="44"/>
          <w:lang w:val="en-US" w:eastAsia="zh-CN"/>
        </w:rPr>
        <w:t>储备粮油物资管理供应有限公司</w:t>
      </w:r>
    </w:p>
    <w:p w14:paraId="311D354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房</w:t>
      </w:r>
      <w:r>
        <w:rPr>
          <w:rFonts w:hint="eastAsia" w:ascii="方正小标宋_GBK" w:hAnsi="宋体" w:eastAsia="方正小标宋_GBK"/>
          <w:color w:val="000000"/>
          <w:w w:val="95"/>
          <w:sz w:val="44"/>
          <w:szCs w:val="44"/>
          <w:lang w:eastAsia="zh-CN"/>
        </w:rPr>
        <w:t>屋</w:t>
      </w:r>
      <w:r>
        <w:rPr>
          <w:rFonts w:hint="eastAsia" w:ascii="方正小标宋_GBK" w:hAnsi="宋体" w:eastAsia="方正小标宋_GBK"/>
          <w:color w:val="000000"/>
          <w:w w:val="95"/>
          <w:sz w:val="44"/>
          <w:szCs w:val="44"/>
          <w:lang w:val="en-US" w:eastAsia="zh-CN"/>
        </w:rPr>
        <w:t>租赁</w:t>
      </w:r>
      <w:r>
        <w:rPr>
          <w:rFonts w:hint="eastAsia" w:ascii="方正小标宋_GBK" w:hAnsi="宋体" w:eastAsia="方正小标宋_GBK"/>
          <w:color w:val="000000"/>
          <w:w w:val="95"/>
          <w:sz w:val="44"/>
          <w:szCs w:val="44"/>
        </w:rPr>
        <w:t>合同</w:t>
      </w:r>
    </w:p>
    <w:p w14:paraId="6817230F">
      <w:pPr>
        <w:keepNext w:val="0"/>
        <w:keepLines w:val="0"/>
        <w:pageBreakBefore w:val="0"/>
        <w:widowControl w:val="0"/>
        <w:kinsoku/>
        <w:wordWrap/>
        <w:overflowPunct/>
        <w:topLinePunct w:val="0"/>
        <w:autoSpaceDE/>
        <w:autoSpaceDN/>
        <w:bidi w:val="0"/>
        <w:snapToGrid/>
        <w:spacing w:line="590" w:lineRule="exact"/>
        <w:rPr>
          <w:rFonts w:hint="eastAsia" w:ascii="仿宋_GB2312" w:hAnsi="宋体" w:eastAsia="仿宋_GB2312"/>
          <w:b/>
          <w:color w:val="000000"/>
          <w:sz w:val="32"/>
          <w:szCs w:val="32"/>
        </w:rPr>
      </w:pPr>
    </w:p>
    <w:p w14:paraId="76A98A60">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出租方</w:t>
      </w:r>
      <w:r>
        <w:rPr>
          <w:rFonts w:hint="eastAsia" w:ascii="仿宋_GB2312" w:hAnsi="仿宋_GB2312" w:eastAsia="仿宋_GB2312"/>
          <w:color w:val="000000"/>
          <w:sz w:val="32"/>
          <w:szCs w:val="32"/>
        </w:rPr>
        <w:t>（以下简称甲方）</w:t>
      </w:r>
      <w:r>
        <w:rPr>
          <w:rFonts w:hint="eastAsia" w:ascii="仿宋_GB2312" w:hAnsi="仿宋_GB2312" w:eastAsia="仿宋_GB2312"/>
          <w:b/>
          <w:color w:val="000000"/>
          <w:sz w:val="32"/>
          <w:szCs w:val="32"/>
        </w:rPr>
        <w:t>:</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屯昌县储备粮油物资管理供应有限公司</w:t>
      </w:r>
      <w:r>
        <w:rPr>
          <w:rFonts w:hint="eastAsia" w:ascii="仿宋_GB2312" w:hAnsi="仿宋_GB2312" w:eastAsia="仿宋_GB2312"/>
          <w:color w:val="000000"/>
          <w:sz w:val="32"/>
          <w:szCs w:val="32"/>
          <w:u w:val="single"/>
        </w:rPr>
        <w:t xml:space="preserve">      </w:t>
      </w:r>
    </w:p>
    <w:p w14:paraId="702A23D6">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单位性质：</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国有独资</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（行政单位及参照公务员制度管理单位；事业单位、社会团体）</w:t>
      </w:r>
    </w:p>
    <w:p w14:paraId="4B54957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法定代表人姓名:</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陈保盛 </w:t>
      </w:r>
    </w:p>
    <w:p w14:paraId="595CA44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统一社会信用代码：</w:t>
      </w:r>
      <w:r>
        <w:rPr>
          <w:rFonts w:hint="eastAsia" w:ascii="仿宋_GB2312" w:hAnsi="仿宋_GB2312" w:eastAsia="仿宋_GB2312"/>
          <w:color w:val="000000"/>
          <w:sz w:val="32"/>
          <w:szCs w:val="32"/>
          <w:u w:val="single"/>
        </w:rPr>
        <w:t xml:space="preserve"> </w:t>
      </w:r>
      <w:r>
        <w:rPr>
          <w:rFonts w:hint="eastAsia" w:ascii="宋体" w:hAnsi="宋体" w:eastAsia="宋体"/>
          <w:sz w:val="32"/>
          <w:szCs w:val="32"/>
          <w:u w:val="single"/>
        </w:rPr>
        <w:t>91460000MABYT7P474</w:t>
      </w:r>
      <w:r>
        <w:rPr>
          <w:rFonts w:hint="eastAsia" w:ascii="仿宋_GB2312" w:hAnsi="仿宋_GB2312" w:eastAsia="仿宋_GB2312"/>
          <w:color w:val="000000"/>
          <w:sz w:val="32"/>
          <w:szCs w:val="32"/>
          <w:u w:val="single"/>
        </w:rPr>
        <w:t>　　</w:t>
      </w:r>
      <w:r>
        <w:rPr>
          <w:rFonts w:hint="eastAsia" w:ascii="仿宋_GB2312" w:hAnsi="仿宋_GB2312" w:eastAsia="仿宋_GB2312"/>
          <w:color w:val="000000"/>
          <w:sz w:val="32"/>
          <w:szCs w:val="32"/>
          <w:u w:val="single"/>
          <w:lang w:val="en-US" w:eastAsia="zh-CN"/>
        </w:rPr>
        <w:t xml:space="preserve">     </w:t>
      </w:r>
    </w:p>
    <w:p w14:paraId="0ECBA98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单位地址：</w:t>
      </w:r>
      <w:r>
        <w:rPr>
          <w:rFonts w:hint="eastAsia" w:ascii="仿宋_GB2312" w:hAnsi="仿宋_GB2312" w:eastAsia="仿宋_GB2312"/>
          <w:color w:val="000000"/>
          <w:sz w:val="32"/>
          <w:szCs w:val="32"/>
          <w:u w:val="single"/>
        </w:rPr>
        <w:t xml:space="preserve"> 海南省屯昌县屯城镇环东一路东侧昌顺花园</w:t>
      </w:r>
      <w:r>
        <w:rPr>
          <w:rFonts w:hint="eastAsia" w:ascii="仿宋_GB2312" w:hAnsi="仿宋_GB2312" w:eastAsia="仿宋_GB2312"/>
          <w:color w:val="000000"/>
          <w:sz w:val="32"/>
          <w:szCs w:val="32"/>
          <w:u w:val="single"/>
          <w:lang w:val="en-US" w:eastAsia="zh-CN"/>
        </w:rPr>
        <w:t>5</w:t>
      </w:r>
      <w:r>
        <w:rPr>
          <w:rFonts w:hint="eastAsia" w:ascii="仿宋_GB2312" w:hAnsi="仿宋_GB2312" w:eastAsia="仿宋_GB2312"/>
          <w:color w:val="000000"/>
          <w:sz w:val="32"/>
          <w:szCs w:val="32"/>
          <w:u w:val="single"/>
        </w:rPr>
        <w:t>＃-B幢10</w:t>
      </w:r>
      <w:r>
        <w:rPr>
          <w:rFonts w:hint="eastAsia" w:ascii="仿宋_GB2312" w:hAnsi="仿宋_GB2312" w:eastAsia="仿宋_GB2312"/>
          <w:color w:val="000000"/>
          <w:sz w:val="32"/>
          <w:szCs w:val="32"/>
          <w:u w:val="single"/>
          <w:lang w:val="en-US" w:eastAsia="zh-CN"/>
        </w:rPr>
        <w:t>3、104</w:t>
      </w:r>
      <w:r>
        <w:rPr>
          <w:rFonts w:hint="eastAsia" w:ascii="仿宋_GB2312" w:hAnsi="仿宋_GB2312" w:eastAsia="仿宋_GB2312"/>
          <w:color w:val="000000"/>
          <w:sz w:val="32"/>
          <w:szCs w:val="32"/>
          <w:u w:val="single"/>
        </w:rPr>
        <w:t xml:space="preserve">号铺面                                         </w:t>
      </w:r>
    </w:p>
    <w:p w14:paraId="3FE66F8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邮政编码：</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571600</w:t>
      </w:r>
      <w:r>
        <w:rPr>
          <w:rFonts w:hint="eastAsia" w:ascii="仿宋_GB2312" w:hAnsi="仿宋_GB2312" w:eastAsia="仿宋_GB2312"/>
          <w:color w:val="000000"/>
          <w:sz w:val="32"/>
          <w:szCs w:val="32"/>
          <w:u w:val="single"/>
        </w:rPr>
        <w:t xml:space="preserve">                           </w:t>
      </w:r>
    </w:p>
    <w:p w14:paraId="02150744">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联系电话：</w:t>
      </w:r>
      <w:r>
        <w:rPr>
          <w:rFonts w:hint="eastAsia" w:ascii="仿宋_GB2312" w:hAnsi="仿宋_GB2312" w:eastAsia="仿宋_GB2312"/>
          <w:color w:val="000000"/>
          <w:sz w:val="32"/>
          <w:szCs w:val="32"/>
          <w:u w:val="single"/>
        </w:rPr>
        <w:t xml:space="preserve"> 67811081          </w:t>
      </w:r>
    </w:p>
    <w:p w14:paraId="079B5E7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承租方</w:t>
      </w:r>
      <w:r>
        <w:rPr>
          <w:rFonts w:hint="eastAsia" w:ascii="仿宋_GB2312" w:hAnsi="仿宋_GB2312" w:eastAsia="仿宋_GB2312"/>
          <w:color w:val="000000"/>
          <w:sz w:val="32"/>
          <w:szCs w:val="32"/>
        </w:rPr>
        <w:t>（以下简称乙方）：</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single"/>
        </w:rPr>
        <w:t xml:space="preserve">   </w:t>
      </w:r>
    </w:p>
    <w:p w14:paraId="48E806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身份证号码</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lang w:val="en-US" w:eastAsia="zh-CN"/>
        </w:rPr>
        <w:t xml:space="preserve">         </w:t>
      </w:r>
    </w:p>
    <w:p w14:paraId="409E12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联系电话：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p>
    <w:p w14:paraId="302B6E4F">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p>
    <w:p w14:paraId="2E49B7C5">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r>
        <w:rPr>
          <w:rFonts w:hint="eastAsia" w:ascii="仿宋_GB2312" w:hAnsi="仿宋_GB2312" w:eastAsia="仿宋_GB2312"/>
          <w:color w:val="000000"/>
          <w:sz w:val="32"/>
          <w:szCs w:val="32"/>
          <w:u w:val="none"/>
          <w:shd w:val="clear" w:color="auto" w:fill="auto"/>
          <w:lang w:val="en-US" w:eastAsia="zh-CN" w:bidi="ar-SA"/>
        </w:rPr>
        <w:t>根据《中华人民共和国民法典》、《中华人民共和国城市房地产管理法》及其他有关法律、法规规定，在平等、自愿、协商一致的基础上，乙方充分了解甲方现出租房屋的详细情况下,甲、乙双方就下列房屋的租赁达成如下协议：</w:t>
      </w:r>
    </w:p>
    <w:p w14:paraId="704D7E9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第一条</w:t>
      </w:r>
      <w:r>
        <w:rPr>
          <w:rFonts w:hint="eastAsia" w:ascii="仿宋_GB2312" w:hAnsi="仿宋_GB2312" w:eastAsia="仿宋_GB2312"/>
          <w:color w:val="000000"/>
          <w:sz w:val="32"/>
          <w:szCs w:val="32"/>
        </w:rPr>
        <w:t xml:space="preserve">  房屋基本情况</w:t>
      </w:r>
    </w:p>
    <w:p w14:paraId="4B3B7DD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甲方拟出租</w:t>
      </w:r>
      <w:r>
        <w:rPr>
          <w:rFonts w:hint="eastAsia" w:ascii="仿宋_GB2312" w:hAnsi="仿宋_GB2312" w:eastAsia="仿宋_GB2312"/>
          <w:color w:val="000000"/>
          <w:sz w:val="32"/>
          <w:u w:val="single"/>
          <w:lang w:val="en-US" w:eastAsia="zh-CN"/>
        </w:rPr>
        <w:t>屯昌县屯城镇昌盛二路粮油贸易公司一楼1、2、3</w:t>
      </w:r>
      <w:bookmarkStart w:id="0" w:name="_GoBack"/>
      <w:bookmarkEnd w:id="0"/>
      <w:r>
        <w:rPr>
          <w:rFonts w:hint="eastAsia" w:ascii="仿宋_GB2312" w:hAnsi="仿宋_GB2312" w:eastAsia="仿宋_GB2312"/>
          <w:color w:val="000000"/>
          <w:sz w:val="32"/>
          <w:u w:val="single"/>
          <w:lang w:val="en-US" w:eastAsia="zh-CN"/>
        </w:rPr>
        <w:t>号铺面97.5㎡出租</w:t>
      </w:r>
      <w:r>
        <w:rPr>
          <w:rFonts w:hint="eastAsia" w:ascii="仿宋_GB2312" w:hAnsi="仿宋_GB2312" w:eastAsia="仿宋_GB2312"/>
          <w:color w:val="000000"/>
          <w:sz w:val="32"/>
          <w:szCs w:val="32"/>
        </w:rPr>
        <w:t xml:space="preserve"> </w:t>
      </w:r>
      <w:r>
        <w:rPr>
          <w:rFonts w:hint="eastAsia" w:ascii="仿宋_GB2312" w:hAnsi="仿宋_GB2312" w:eastAsia="仿宋_GB2312"/>
          <w:color w:val="000000"/>
          <w:sz w:val="32"/>
          <w:szCs w:val="32"/>
          <w:lang w:eastAsia="zh-CN"/>
        </w:rPr>
        <w:t>。</w:t>
      </w:r>
    </w:p>
    <w:p w14:paraId="28A51BB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第二条</w:t>
      </w:r>
      <w:r>
        <w:rPr>
          <w:rFonts w:hint="eastAsia" w:ascii="仿宋_GB2312" w:hAnsi="仿宋_GB2312" w:eastAsia="仿宋_GB2312"/>
          <w:color w:val="000000"/>
          <w:sz w:val="32"/>
          <w:szCs w:val="32"/>
        </w:rPr>
        <w:t xml:space="preserve">  房屋用途</w:t>
      </w:r>
    </w:p>
    <w:p w14:paraId="00364045">
      <w:pPr>
        <w:pStyle w:val="12"/>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乙方向甲方承诺，租赁该房屋的使用必须符合行业监管部门的使用要求，必须依法经营，严格执行国家的法律法规，不得损害社会公共利益，不得用于经营危险行业等。</w:t>
      </w:r>
      <w:r>
        <w:rPr>
          <w:rFonts w:hint="eastAsia" w:ascii="仿宋_GB2312" w:hAnsi="仿宋_GB2312" w:eastAsia="仿宋_GB2312"/>
          <w:color w:val="000000"/>
          <w:kern w:val="2"/>
          <w:sz w:val="32"/>
          <w:szCs w:val="32"/>
        </w:rPr>
        <w:t>乙方保证在租赁期间按租赁用途</w:t>
      </w:r>
      <w:r>
        <w:rPr>
          <w:rFonts w:hint="eastAsia" w:ascii="仿宋_GB2312" w:hAnsi="仿宋_GB2312" w:eastAsia="仿宋_GB2312"/>
          <w:color w:val="000000"/>
          <w:kern w:val="2"/>
          <w:sz w:val="32"/>
          <w:szCs w:val="32"/>
          <w:lang w:val="en-US" w:eastAsia="zh-CN"/>
        </w:rPr>
        <w:t>使用租赁房屋</w:t>
      </w:r>
      <w:r>
        <w:rPr>
          <w:rFonts w:hint="eastAsia" w:ascii="仿宋_GB2312" w:hAnsi="仿宋_GB2312" w:eastAsia="仿宋_GB2312"/>
          <w:color w:val="000000"/>
          <w:kern w:val="2"/>
          <w:sz w:val="32"/>
          <w:szCs w:val="32"/>
        </w:rPr>
        <w:t>，未征得甲方书面同意，不得擅自改变租赁用途。乙方已充分了解和知悉该房屋现状情况，自愿按照该房屋现状承租该房屋。</w:t>
      </w:r>
    </w:p>
    <w:p w14:paraId="7735AF49">
      <w:pPr>
        <w:spacing w:line="590" w:lineRule="exact"/>
        <w:ind w:firstLine="643"/>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 xml:space="preserve">第三条  </w:t>
      </w:r>
      <w:r>
        <w:rPr>
          <w:rFonts w:hint="eastAsia" w:ascii="仿宋_GB2312" w:hAnsi="仿宋_GB2312" w:eastAsia="仿宋_GB2312"/>
          <w:b w:val="0"/>
          <w:bCs/>
          <w:color w:val="000000"/>
          <w:sz w:val="32"/>
          <w:szCs w:val="32"/>
        </w:rPr>
        <w:t>租赁期限</w:t>
      </w:r>
    </w:p>
    <w:p w14:paraId="053503EE">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租赁期限</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val="en-US" w:eastAsia="zh-CN"/>
        </w:rPr>
        <w:t>年，</w:t>
      </w:r>
      <w:r>
        <w:rPr>
          <w:rFonts w:hint="eastAsia" w:ascii="仿宋_GB2312" w:hAnsi="仿宋_GB2312" w:eastAsia="仿宋_GB2312"/>
          <w:color w:val="000000"/>
          <w:sz w:val="32"/>
          <w:szCs w:val="32"/>
        </w:rPr>
        <w:t>自</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日至</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日止</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。如政府提前收回处置，乙方必须无条件服从，</w:t>
      </w:r>
      <w:r>
        <w:rPr>
          <w:rFonts w:hint="eastAsia" w:ascii="仿宋_GB2312" w:hAnsi="仿宋_GB2312" w:eastAsia="仿宋_GB2312"/>
          <w:color w:val="000000"/>
          <w:sz w:val="32"/>
          <w:szCs w:val="32"/>
          <w:lang w:val="en-US" w:eastAsia="zh-CN"/>
        </w:rPr>
        <w:t>如出租房屋仍可出租使用的话，</w:t>
      </w:r>
      <w:r>
        <w:rPr>
          <w:rFonts w:hint="eastAsia" w:ascii="仿宋_GB2312" w:hAnsi="仿宋_GB2312" w:eastAsia="仿宋_GB2312"/>
          <w:color w:val="000000"/>
          <w:sz w:val="32"/>
          <w:szCs w:val="32"/>
        </w:rPr>
        <w:t>甲方承诺连带本合同处置，由取得该房屋的产权方继续履行本合同至租赁期限</w:t>
      </w:r>
      <w:r>
        <w:rPr>
          <w:rFonts w:hint="eastAsia" w:ascii="仿宋_GB2312" w:hAnsi="仿宋_GB2312" w:eastAsia="仿宋_GB2312"/>
          <w:color w:val="000000"/>
          <w:sz w:val="32"/>
          <w:szCs w:val="32"/>
          <w:lang w:val="en-US" w:eastAsia="zh-CN"/>
        </w:rPr>
        <w:t>届满之日</w:t>
      </w:r>
      <w:r>
        <w:rPr>
          <w:rFonts w:hint="eastAsia" w:ascii="仿宋_GB2312" w:hAnsi="仿宋_GB2312" w:eastAsia="仿宋_GB2312"/>
          <w:color w:val="000000"/>
          <w:sz w:val="32"/>
          <w:szCs w:val="32"/>
        </w:rPr>
        <w:t>止。</w:t>
      </w:r>
    </w:p>
    <w:p w14:paraId="6B7106A2">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宋体" w:eastAsia="仿宋_GB2312"/>
          <w:color w:val="auto"/>
          <w:sz w:val="32"/>
          <w:szCs w:val="32"/>
        </w:rPr>
      </w:pPr>
      <w:r>
        <w:rPr>
          <w:rFonts w:hint="eastAsia" w:ascii="仿宋_GB2312" w:hAnsi="仿宋_GB2312" w:eastAsia="仿宋_GB2312"/>
          <w:b/>
          <w:color w:val="auto"/>
          <w:sz w:val="32"/>
          <w:szCs w:val="32"/>
        </w:rPr>
        <w:t>第</w:t>
      </w:r>
      <w:r>
        <w:rPr>
          <w:rFonts w:hint="eastAsia" w:ascii="仿宋_GB2312" w:hAnsi="仿宋_GB2312" w:eastAsia="仿宋_GB2312"/>
          <w:b/>
          <w:color w:val="auto"/>
          <w:sz w:val="32"/>
          <w:szCs w:val="32"/>
          <w:lang w:val="en-US" w:eastAsia="zh-CN"/>
        </w:rPr>
        <w:t>四</w:t>
      </w:r>
      <w:r>
        <w:rPr>
          <w:rFonts w:hint="eastAsia" w:ascii="仿宋_GB2312" w:hAnsi="仿宋_GB2312" w:eastAsia="仿宋_GB2312"/>
          <w:b/>
          <w:color w:val="auto"/>
          <w:sz w:val="32"/>
          <w:szCs w:val="32"/>
        </w:rPr>
        <w:t>条</w:t>
      </w:r>
    </w:p>
    <w:p w14:paraId="584520E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乙方负责自行办理租赁房屋的营业执照及相关经营许可证件。</w:t>
      </w:r>
    </w:p>
    <w:p w14:paraId="6607DC7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甲方负责提供办理营业执照所需的房屋产权证明、租赁合同等必要资料。</w:t>
      </w:r>
    </w:p>
    <w:p w14:paraId="7BC6EC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br w:type="textWrapping"/>
      </w:r>
    </w:p>
    <w:p w14:paraId="12A4B88F">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交付房屋期限</w:t>
      </w:r>
    </w:p>
    <w:p w14:paraId="5C54CEF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甲方应于本合同约定的租赁期开始之日起，将房屋交付给乙方。</w:t>
      </w:r>
    </w:p>
    <w:p w14:paraId="5DD192B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甲方对房屋产权的承诺</w:t>
      </w:r>
    </w:p>
    <w:p w14:paraId="06C06B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或双方协商解决。</w:t>
      </w:r>
    </w:p>
    <w:p w14:paraId="09EF3D9B">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七</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维修养护责任</w:t>
      </w:r>
    </w:p>
    <w:p w14:paraId="09FFE5E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租赁期间，甲方</w:t>
      </w:r>
      <w:r>
        <w:rPr>
          <w:rFonts w:hint="eastAsia" w:ascii="仿宋_GB2312" w:hAnsi="仿宋_GB2312" w:eastAsia="仿宋_GB2312"/>
          <w:color w:val="000000"/>
          <w:sz w:val="32"/>
          <w:szCs w:val="32"/>
          <w:lang w:val="en-US" w:eastAsia="zh-CN"/>
        </w:rPr>
        <w:t>有权</w:t>
      </w:r>
      <w:r>
        <w:rPr>
          <w:rFonts w:hint="eastAsia" w:ascii="仿宋_GB2312" w:hAnsi="仿宋_GB2312" w:eastAsia="仿宋_GB2312"/>
          <w:color w:val="000000"/>
          <w:sz w:val="32"/>
          <w:szCs w:val="32"/>
        </w:rPr>
        <w:t>对房屋及其附着设施每</w:t>
      </w:r>
      <w:r>
        <w:rPr>
          <w:rFonts w:hint="eastAsia" w:ascii="仿宋_GB2312" w:hAnsi="仿宋_GB2312" w:eastAsia="仿宋_GB2312"/>
          <w:color w:val="000000"/>
          <w:sz w:val="32"/>
          <w:szCs w:val="32"/>
          <w:u w:val="single"/>
        </w:rPr>
        <w:t>年</w:t>
      </w:r>
      <w:r>
        <w:rPr>
          <w:rFonts w:hint="eastAsia" w:ascii="仿宋_GB2312" w:hAnsi="仿宋_GB2312" w:eastAsia="仿宋_GB2312"/>
          <w:color w:val="000000"/>
          <w:sz w:val="32"/>
          <w:szCs w:val="32"/>
        </w:rPr>
        <w:t>检查一次，需修缮的，应进行修缮。检查、修缮时，甲方应提前告知乙方，乙方应积极协助，不得阻挠。</w:t>
      </w:r>
    </w:p>
    <w:p w14:paraId="71E380C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有关房屋正常的修缮及费用负担约定为：</w:t>
      </w:r>
      <w:r>
        <w:rPr>
          <w:rFonts w:hint="eastAsia" w:ascii="仿宋_GB2312" w:hAnsi="仿宋_GB2312" w:eastAsia="仿宋_GB2312"/>
          <w:color w:val="000000"/>
          <w:sz w:val="32"/>
          <w:szCs w:val="32"/>
          <w:u w:val="single"/>
        </w:rPr>
        <w:t>房屋正常的修缮的相关费用全部由乙方承担。</w:t>
      </w:r>
    </w:p>
    <w:p w14:paraId="74B8FC7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因乙方使用管理不善造成房屋及相关设备、设施的损失</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损坏</w:t>
      </w:r>
      <w:r>
        <w:rPr>
          <w:rFonts w:hint="eastAsia" w:ascii="仿宋_GB2312" w:hAnsi="仿宋_GB2312" w:eastAsia="仿宋_GB2312"/>
          <w:color w:val="000000"/>
          <w:sz w:val="32"/>
          <w:szCs w:val="32"/>
        </w:rPr>
        <w:t>及维修费用，由乙方承担。</w:t>
      </w:r>
    </w:p>
    <w:p w14:paraId="30B86B6B">
      <w:p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w:t>
      </w:r>
      <w:r>
        <w:rPr>
          <w:rFonts w:hint="eastAsia" w:ascii="仿宋_GB2312" w:hAnsi="仿宋_GB2312" w:eastAsia="仿宋_GB2312"/>
          <w:color w:val="000000"/>
          <w:kern w:val="2"/>
          <w:sz w:val="32"/>
          <w:szCs w:val="32"/>
          <w:shd w:val="clear" w:color="auto" w:fill="auto"/>
          <w:lang w:eastAsia="zh-CN" w:bidi="zh-TW"/>
        </w:rPr>
        <w:t>乙方必须遵守、执行当地有关部门规定安全生产、门前三包、综合治理及安全保卫等规定，并承担全部责任。</w:t>
      </w:r>
      <w:r>
        <w:rPr>
          <w:rFonts w:hint="eastAsia" w:ascii="仿宋_GB2312" w:hAnsi="仿宋_GB2312" w:eastAsia="仿宋_GB2312"/>
          <w:color w:val="000000"/>
          <w:sz w:val="32"/>
          <w:szCs w:val="32"/>
        </w:rPr>
        <w:t>甲方有监督检查的权力。</w:t>
      </w:r>
    </w:p>
    <w:p w14:paraId="38A68EB4">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kern w:val="2"/>
          <w:sz w:val="32"/>
          <w:szCs w:val="32"/>
          <w:shd w:val="clear" w:color="auto" w:fill="auto"/>
          <w:lang w:eastAsia="zh-CN" w:bidi="zh-TW"/>
        </w:rPr>
      </w:pPr>
      <w:r>
        <w:rPr>
          <w:rFonts w:hint="eastAsia" w:ascii="仿宋_GB2312" w:hAnsi="仿宋_GB2312" w:eastAsia="仿宋_GB2312"/>
          <w:color w:val="000000"/>
          <w:kern w:val="2"/>
          <w:sz w:val="32"/>
          <w:szCs w:val="32"/>
          <w:shd w:val="clear" w:color="auto" w:fill="auto"/>
          <w:lang w:eastAsia="zh-CN" w:bidi="zh-TW"/>
        </w:rPr>
        <w:t>租赁期间，乙方应自行做好房屋内的防火、防盗等安全措施。乙方须在屋内配备灭火器，严禁私自乱拉乱接电线等，如有违规，乙方应进行整改，直至符合要求。若因乙方措施不当造成损失，其损失由乙方自行承担；造成甲方房屋损失的，由乙方全额赔偿给甲方；造成第三方房屋财产损失的，由乙方负责处理，并由乙方全额赔偿给对方。</w:t>
      </w:r>
    </w:p>
    <w:p w14:paraId="0CFE93CD">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八</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关于房屋装修和改变房屋结构的约定</w:t>
      </w:r>
    </w:p>
    <w:p w14:paraId="6F48A3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299C8BBE">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九</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关于房屋租赁期间的有关费用</w:t>
      </w:r>
    </w:p>
    <w:p w14:paraId="7707407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租赁期间，以下费用，除另有约定外，全部由乙方支付，并由乙方承担逾期付款的违约责任。如因乙方欠缴或逾期付款导致甲方承担责任的，甲方有权向乙方追缴。</w:t>
      </w:r>
    </w:p>
    <w:p w14:paraId="168D44B7">
      <w:pPr>
        <w:widowControl/>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shd w:val="clear" w:color="auto" w:fill="auto"/>
          <w:lang w:eastAsia="zh-CN" w:bidi="zh-TW"/>
        </w:rPr>
        <w:t>租赁期间，</w:t>
      </w:r>
      <w:r>
        <w:rPr>
          <w:rFonts w:hint="eastAsia" w:ascii="仿宋_GB2312" w:hAnsi="仿宋_GB2312" w:eastAsia="仿宋_GB2312"/>
          <w:color w:val="000000"/>
          <w:sz w:val="32"/>
          <w:szCs w:val="32"/>
          <w:shd w:val="clear" w:color="auto" w:fill="auto"/>
          <w:lang w:eastAsia="zh-CN" w:bidi="zh-TW"/>
        </w:rPr>
        <w:t>房屋</w:t>
      </w:r>
      <w:r>
        <w:rPr>
          <w:rFonts w:hint="eastAsia" w:ascii="仿宋_GB2312" w:hAnsi="仿宋_GB2312" w:eastAsia="仿宋_GB2312"/>
          <w:color w:val="000000"/>
          <w:sz w:val="32"/>
          <w:shd w:val="clear" w:color="auto" w:fill="auto"/>
          <w:lang w:eastAsia="zh-CN" w:bidi="zh-TW"/>
        </w:rPr>
        <w:t>发生的交易平台即屯昌县农村产权交易中心</w:t>
      </w:r>
      <w:r>
        <w:rPr>
          <w:rFonts w:hint="eastAsia" w:ascii="仿宋_GB2312" w:hAnsi="仿宋_GB2312" w:eastAsia="仿宋_GB2312"/>
          <w:color w:val="000000"/>
          <w:kern w:val="2"/>
          <w:sz w:val="32"/>
          <w:szCs w:val="32"/>
          <w:shd w:val="clear" w:color="auto" w:fill="auto"/>
          <w:lang w:eastAsia="zh-CN" w:bidi="zh-TW"/>
        </w:rPr>
        <w:t>房屋出租手续费、燃气费、物业管理费、收视费、互联网费、等其他相关费用全部由乙方承担并支付。</w:t>
      </w:r>
    </w:p>
    <w:p w14:paraId="78DEBC27">
      <w:pPr>
        <w:widowControl/>
        <w:snapToGrid w:val="0"/>
        <w:spacing w:line="560" w:lineRule="exact"/>
        <w:ind w:firstLine="640" w:firstLineChars="200"/>
        <w:rPr>
          <w:rFonts w:hint="eastAsia" w:ascii="仿宋_GB2312" w:hAnsi="仿宋_GB2312" w:eastAsia="仿宋_GB2312"/>
          <w:color w:val="000000"/>
          <w:kern w:val="2"/>
          <w:sz w:val="32"/>
          <w:szCs w:val="32"/>
          <w:shd w:val="clear" w:color="auto" w:fill="auto"/>
          <w:lang w:val="en-US" w:eastAsia="zh-CN" w:bidi="zh-TW"/>
        </w:rPr>
      </w:pPr>
      <w:r>
        <w:rPr>
          <w:rFonts w:hint="eastAsia" w:ascii="仿宋_GB2312" w:hAnsi="仿宋_GB2312" w:eastAsia="仿宋_GB2312"/>
          <w:color w:val="000000"/>
          <w:sz w:val="32"/>
          <w:shd w:val="clear" w:color="auto" w:fill="auto"/>
          <w:lang w:val="en-US" w:eastAsia="zh-CN" w:bidi="zh-TW"/>
        </w:rPr>
        <w:t>2.甲方只负责缴交房屋租金的税费</w:t>
      </w:r>
      <w:r>
        <w:rPr>
          <w:rFonts w:hint="eastAsia" w:ascii="仿宋_GB2312" w:hAnsi="仿宋_GB2312" w:eastAsia="仿宋_GB2312"/>
          <w:color w:val="000000"/>
          <w:kern w:val="2"/>
          <w:sz w:val="32"/>
          <w:szCs w:val="32"/>
          <w:shd w:val="clear" w:color="auto" w:fill="auto"/>
          <w:lang w:val="en-US" w:eastAsia="zh-CN" w:bidi="zh-TW"/>
        </w:rPr>
        <w:t>。</w:t>
      </w:r>
    </w:p>
    <w:p w14:paraId="1634F0A7">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3、自本合同生效之日起，乙方承担租赁房屋的水电费，</w:t>
      </w:r>
    </w:p>
    <w:p w14:paraId="064CF138">
      <w:pPr>
        <w:widowControl/>
        <w:snapToGrid w:val="0"/>
        <w:spacing w:line="560" w:lineRule="exact"/>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对于租赁前的水电费欠缴，甲方负责结清，与乙方无关。</w:t>
      </w:r>
    </w:p>
    <w:p w14:paraId="07669B55">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4、甲方给予乙方半个月的装修期，自租赁期开始之日起计算，装修期内，乙方免交租金，但需承担装修期间的水电费及其他相关费用。</w:t>
      </w:r>
      <w:r>
        <w:rPr>
          <w:rFonts w:hint="eastAsia" w:ascii="仿宋_GB2312" w:hAnsi="仿宋_GB2312" w:eastAsia="仿宋_GB2312"/>
          <w:color w:val="auto"/>
          <w:kern w:val="2"/>
          <w:sz w:val="32"/>
          <w:szCs w:val="32"/>
          <w:shd w:val="clear" w:color="auto" w:fill="auto"/>
          <w:lang w:val="en-US" w:eastAsia="zh-CN" w:bidi="zh-TW"/>
        </w:rPr>
        <w:br w:type="textWrapping"/>
      </w:r>
      <w:r>
        <w:rPr>
          <w:rFonts w:hint="eastAsia" w:ascii="仿宋_GB2312" w:hAnsi="仿宋_GB2312" w:eastAsia="仿宋_GB2312"/>
          <w:color w:val="auto"/>
          <w:kern w:val="2"/>
          <w:sz w:val="32"/>
          <w:szCs w:val="32"/>
          <w:shd w:val="clear" w:color="auto" w:fill="auto"/>
          <w:lang w:val="en-US" w:eastAsia="zh-CN" w:bidi="zh-TW"/>
        </w:rPr>
        <w:t xml:space="preserve">    5、自本合同生效之日起，乙方承担租赁房屋的水电费。</w:t>
      </w:r>
    </w:p>
    <w:p w14:paraId="552128E2">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6、对于租赁前的水电费欠缴，甲方负责结清，与乙方无关。</w:t>
      </w:r>
    </w:p>
    <w:p w14:paraId="53E7C4F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第十条</w:t>
      </w:r>
      <w:r>
        <w:rPr>
          <w:rFonts w:hint="eastAsia" w:ascii="仿宋_GB2312" w:hAnsi="仿宋_GB2312" w:eastAsia="仿宋_GB2312"/>
          <w:color w:val="000000"/>
          <w:sz w:val="32"/>
          <w:szCs w:val="32"/>
        </w:rPr>
        <w:t xml:space="preserve">  租赁期满</w:t>
      </w:r>
    </w:p>
    <w:p w14:paraId="738B5BB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租赁期满后，本合同即终止，届时乙方须将房屋</w:t>
      </w:r>
      <w:r>
        <w:rPr>
          <w:rFonts w:hint="eastAsia" w:ascii="仿宋_GB2312" w:hAnsi="仿宋_GB2312" w:eastAsia="仿宋_GB2312"/>
          <w:color w:val="000000"/>
          <w:sz w:val="32"/>
          <w:szCs w:val="32"/>
          <w:lang w:val="en-US" w:eastAsia="zh-CN"/>
        </w:rPr>
        <w:t>完好地</w:t>
      </w:r>
      <w:r>
        <w:rPr>
          <w:rFonts w:hint="eastAsia" w:ascii="仿宋_GB2312" w:hAnsi="仿宋_GB2312" w:eastAsia="仿宋_GB2312"/>
          <w:color w:val="000000"/>
          <w:sz w:val="32"/>
          <w:szCs w:val="32"/>
        </w:rPr>
        <w:t>退还给甲方，乙方投入不动产部分应保持现状，产权归甲方所有，甲方不作任何补偿。本合同终止</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rPr>
        <w:t>乙方</w:t>
      </w:r>
      <w:r>
        <w:rPr>
          <w:rFonts w:hint="eastAsia" w:ascii="仿宋_GB2312" w:hAnsi="仿宋_GB2312" w:eastAsia="仿宋_GB2312"/>
          <w:color w:val="000000"/>
          <w:sz w:val="32"/>
          <w:szCs w:val="32"/>
          <w:lang w:val="en-US" w:eastAsia="zh-CN"/>
        </w:rPr>
        <w:t>应于10日之内搬离</w:t>
      </w:r>
      <w:r>
        <w:rPr>
          <w:rFonts w:hint="eastAsia" w:ascii="仿宋_GB2312" w:hAnsi="仿宋_GB2312" w:eastAsia="仿宋_GB2312"/>
          <w:color w:val="000000"/>
          <w:sz w:val="32"/>
          <w:szCs w:val="32"/>
        </w:rPr>
        <w:t>。租赁期满，乙方如有意续租，应在租赁期满前三个月向甲方提出书面续租申请。</w:t>
      </w:r>
    </w:p>
    <w:p w14:paraId="19A022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经甲方同意后，双方另行签订租赁合同，续租条件（包括但不限于租金、租赁期限等）由双方根据当时市场情况及甲方相关规定协商确定。</w:t>
      </w:r>
    </w:p>
    <w:p w14:paraId="28D3D3E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一</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因乙方责任终止合同</w:t>
      </w:r>
    </w:p>
    <w:p w14:paraId="70A6053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乙方有下列情形之一的，甲方可单方终止合同并收回房屋，因此给乙方带来的损失，甲方不承担赔偿责任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乙方交纳的押金不予退还，归甲方所有</w:t>
      </w:r>
      <w:r>
        <w:rPr>
          <w:rFonts w:hint="eastAsia" w:ascii="仿宋_GB2312" w:hAnsi="仿宋_GB2312" w:eastAsia="仿宋_GB2312"/>
          <w:color w:val="000000"/>
          <w:sz w:val="32"/>
          <w:szCs w:val="32"/>
        </w:rPr>
        <w:t>。乙方有下列情形之一，给甲方带来的损失，由乙方承担赔偿责任。</w:t>
      </w:r>
    </w:p>
    <w:p w14:paraId="4BF0DE14">
      <w:pPr>
        <w:widowControl w:val="0"/>
        <w:numPr>
          <w:ilvl w:val="0"/>
          <w:numId w:val="1"/>
        </w:numPr>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w:t>
      </w:r>
      <w:r>
        <w:rPr>
          <w:rFonts w:hint="eastAsia" w:ascii="仿宋_GB2312" w:hAnsi="仿宋_GB2312" w:eastAsia="仿宋_GB2312"/>
          <w:color w:val="000000"/>
          <w:sz w:val="32"/>
          <w:szCs w:val="32"/>
        </w:rPr>
        <w:t>擅自将承租的房屋转租、转让、转借或调换使用的；</w:t>
      </w:r>
    </w:p>
    <w:p w14:paraId="28A47057">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未经甲方书面同意，乙方擅自拆改承租</w:t>
      </w:r>
      <w:r>
        <w:rPr>
          <w:rFonts w:hint="eastAsia" w:ascii="仿宋_GB2312" w:hAnsi="仿宋_GB2312" w:eastAsia="仿宋_GB2312"/>
          <w:color w:val="000000"/>
          <w:sz w:val="32"/>
          <w:szCs w:val="32"/>
        </w:rPr>
        <w:t>房屋</w:t>
      </w:r>
      <w:r>
        <w:rPr>
          <w:rFonts w:hint="eastAsia" w:ascii="仿宋_GB2312" w:hAnsi="仿宋_GB2312" w:eastAsia="仿宋_GB2312"/>
          <w:color w:val="000000"/>
          <w:kern w:val="2"/>
          <w:sz w:val="32"/>
          <w:szCs w:val="32"/>
        </w:rPr>
        <w:t>结构的</w:t>
      </w:r>
      <w:r>
        <w:rPr>
          <w:rFonts w:hint="eastAsia" w:ascii="仿宋" w:hAnsi="仿宋" w:eastAsia="仿宋"/>
          <w:color w:val="000000"/>
          <w:kern w:val="0"/>
          <w:sz w:val="28"/>
          <w:szCs w:val="28"/>
        </w:rPr>
        <w:t>；</w:t>
      </w:r>
    </w:p>
    <w:p w14:paraId="1EAFCF65">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拖欠应付租金时间超过</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个月的；</w:t>
      </w:r>
    </w:p>
    <w:p w14:paraId="1AC6F072">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利用承租房屋进行违法活动的；</w:t>
      </w:r>
    </w:p>
    <w:p w14:paraId="7C7701C9">
      <w:pPr>
        <w:widowControl w:val="0"/>
        <w:numPr>
          <w:ilvl w:val="0"/>
          <w:numId w:val="1"/>
        </w:num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欠付相关费用给甲方带来不利的。</w:t>
      </w:r>
    </w:p>
    <w:p w14:paraId="6C95687D">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未按要求采取消防安全措施，私自乱拉乱接电线等严重影响消防安全，乙方拒不整改的。</w:t>
      </w:r>
    </w:p>
    <w:p w14:paraId="1576EDAC">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二</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提前终止合同</w:t>
      </w:r>
    </w:p>
    <w:p w14:paraId="2995ECC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租赁期间，除出现本合同相关条款规定的情形外，任何一方提出终止合同，需提前</w:t>
      </w:r>
      <w:r>
        <w:rPr>
          <w:rFonts w:hint="eastAsia" w:ascii="仿宋_GB2312" w:hAnsi="仿宋_GB2312" w:eastAsia="仿宋_GB2312"/>
          <w:color w:val="000000"/>
          <w:sz w:val="32"/>
          <w:szCs w:val="32"/>
          <w:lang w:val="en-US" w:eastAsia="zh-CN"/>
        </w:rPr>
        <w:t>15日</w:t>
      </w:r>
      <w:r>
        <w:rPr>
          <w:rFonts w:hint="eastAsia" w:ascii="仿宋_GB2312" w:hAnsi="仿宋_GB2312" w:eastAsia="仿宋_GB2312"/>
          <w:color w:val="000000"/>
          <w:sz w:val="32"/>
          <w:szCs w:val="32"/>
        </w:rPr>
        <w:t>书面通知对方，经双方协商后签订终止合同书，在终止合同签订前，本合同仍有效。</w:t>
      </w:r>
    </w:p>
    <w:p w14:paraId="2519AB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如因国家建设、单位扩改建及不可抗力等因素，甲方必须提前终止合同时，应在合理的期限内书面通知乙方，并给予乙方必要的搬迁时间，乙方的经济损失甲方不予赔偿。</w:t>
      </w:r>
    </w:p>
    <w:p w14:paraId="6A55489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三</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违约责任</w:t>
      </w:r>
    </w:p>
    <w:p w14:paraId="1EB7298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（一）甲方必须按约定将租赁房屋交付乙方使用，逾期交房的，乙方不支付逾期交房期间的租金，租金自甲方实际交房之日起据实计算。</w:t>
      </w:r>
    </w:p>
    <w:p w14:paraId="5CBE46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二</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rPr>
        <w:t>乙方必须按约定时间交付租金，若乙方逾期支付的，每逾期一天，乙方须按应付金额的</w:t>
      </w:r>
      <w:r>
        <w:rPr>
          <w:rFonts w:hint="eastAsia" w:ascii="仿宋_GB2312" w:hAnsi="仿宋_GB2312" w:eastAsia="仿宋_GB2312"/>
          <w:color w:val="000000"/>
          <w:kern w:val="2"/>
          <w:sz w:val="32"/>
          <w:szCs w:val="32"/>
          <w:lang w:val="en-US" w:eastAsia="zh-CN"/>
        </w:rPr>
        <w:t>万</w:t>
      </w:r>
      <w:r>
        <w:rPr>
          <w:rFonts w:hint="eastAsia" w:ascii="仿宋_GB2312" w:hAnsi="仿宋_GB2312" w:eastAsia="仿宋_GB2312"/>
          <w:color w:val="000000"/>
          <w:kern w:val="2"/>
          <w:sz w:val="32"/>
          <w:szCs w:val="32"/>
        </w:rPr>
        <w:t>分之</w:t>
      </w:r>
      <w:r>
        <w:rPr>
          <w:rFonts w:hint="eastAsia" w:ascii="仿宋_GB2312" w:hAnsi="仿宋_GB2312" w:eastAsia="仿宋_GB2312"/>
          <w:color w:val="000000"/>
          <w:kern w:val="2"/>
          <w:sz w:val="32"/>
          <w:szCs w:val="32"/>
          <w:lang w:val="en-US" w:eastAsia="zh-CN"/>
        </w:rPr>
        <w:t>三</w:t>
      </w:r>
      <w:r>
        <w:rPr>
          <w:rFonts w:hint="eastAsia" w:ascii="仿宋_GB2312" w:hAnsi="仿宋_GB2312" w:eastAsia="仿宋_GB2312"/>
          <w:color w:val="000000"/>
          <w:kern w:val="2"/>
          <w:sz w:val="32"/>
          <w:szCs w:val="32"/>
        </w:rPr>
        <w:t>向甲方支付违约金，自合同约定应缴纳的期限期满后的第一天开始起算。</w:t>
      </w:r>
    </w:p>
    <w:p w14:paraId="1EE30F7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lang w:eastAsia="zh-CN"/>
        </w:rPr>
        <w:t>）甲乙双方</w:t>
      </w:r>
      <w:r>
        <w:rPr>
          <w:rFonts w:hint="eastAsia" w:ascii="仿宋_GB2312" w:hAnsi="仿宋_GB2312" w:eastAsia="仿宋_GB2312"/>
          <w:color w:val="000000"/>
          <w:sz w:val="32"/>
          <w:szCs w:val="32"/>
        </w:rPr>
        <w:t>违反本合同的其他条款，按条款中的约定执行。条款中未约定的，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lang w:val="en-US" w:eastAsia="zh-CN"/>
        </w:rPr>
        <w:t>方</w:t>
      </w:r>
      <w:r>
        <w:rPr>
          <w:rFonts w:hint="eastAsia" w:ascii="仿宋_GB2312" w:hAnsi="仿宋_GB2312" w:eastAsia="仿宋_GB2312"/>
          <w:color w:val="000000"/>
          <w:sz w:val="32"/>
          <w:szCs w:val="32"/>
        </w:rPr>
        <w:t>协商处理。</w:t>
      </w:r>
    </w:p>
    <w:p w14:paraId="55D007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因乙方违约，乙方除应承担的违约责任外，还应承担甲方向乙方追讨及实现债权所产生的全部费用，这些费用包括但不限于诉讼费、律师费、差旅费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保全费、保全责任保险费</w:t>
      </w:r>
      <w:r>
        <w:rPr>
          <w:rFonts w:hint="eastAsia" w:ascii="仿宋_GB2312" w:hAnsi="仿宋_GB2312" w:eastAsia="仿宋_GB2312"/>
          <w:color w:val="000000"/>
          <w:sz w:val="32"/>
          <w:szCs w:val="32"/>
        </w:rPr>
        <w:t>等。</w:t>
      </w: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38CB42C1">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四</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不可抗力</w:t>
      </w:r>
    </w:p>
    <w:p w14:paraId="48A32B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因不可抗力原因导致该房屋毁损和造成损失的，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方互不承担责任。</w:t>
      </w:r>
    </w:p>
    <w:p w14:paraId="45A8353A">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 xml:space="preserve">条  </w:t>
      </w:r>
      <w:r>
        <w:rPr>
          <w:rFonts w:hint="eastAsia" w:ascii="仿宋_GB2312" w:hAnsi="仿宋_GB2312" w:eastAsia="仿宋_GB2312"/>
          <w:bCs/>
          <w:color w:val="000000"/>
          <w:sz w:val="32"/>
          <w:szCs w:val="32"/>
        </w:rPr>
        <w:t>其他条款</w:t>
      </w:r>
    </w:p>
    <w:p w14:paraId="3200F59D">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shd w:val="clear" w:color="auto" w:fill="auto"/>
          <w:lang w:eastAsia="zh-CN" w:bidi="zh-TW"/>
        </w:rPr>
        <w:t>乙方在租赁期间内的人身和财产安全由乙方自行负责，在租赁期间内，乙方是该房屋的实际管理人，该房屋内发生的所有安全事故，都由乙方来承担，与甲方无关。包括但不限于高空抛物，水电燃气使用不当，在房屋内摔倒给乙方及同住人造成的人身伤害甲方都不承担任何责任，乙方若利用此房屋从事非法活动，或者是拖欠房租超过</w:t>
      </w:r>
      <w:r>
        <w:rPr>
          <w:rFonts w:hint="eastAsia" w:ascii="仿宋_GB2312" w:hAnsi="仿宋_GB2312" w:eastAsia="仿宋_GB2312"/>
          <w:color w:val="000000"/>
          <w:sz w:val="32"/>
          <w:szCs w:val="32"/>
          <w:shd w:val="clear" w:color="auto" w:fill="auto"/>
          <w:lang w:val="en-US" w:eastAsia="zh-CN" w:bidi="zh-TW"/>
        </w:rPr>
        <w:t>30</w:t>
      </w:r>
      <w:r>
        <w:rPr>
          <w:rFonts w:hint="eastAsia" w:ascii="仿宋_GB2312" w:hAnsi="仿宋_GB2312" w:eastAsia="仿宋_GB2312"/>
          <w:color w:val="000000"/>
          <w:sz w:val="32"/>
          <w:szCs w:val="32"/>
          <w:shd w:val="clear" w:color="auto" w:fill="auto"/>
          <w:lang w:eastAsia="zh-CN" w:bidi="zh-TW"/>
        </w:rPr>
        <w:t>天，则甲方有权立即无条件收回此房屋。</w:t>
      </w:r>
    </w:p>
    <w:p w14:paraId="7B193D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本合同未尽事宜，由甲、乙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方另行约定，并签订补充协议。补充协议内容与本合同不一致的，以本合同为准。本合同和补充协议中未规定的事项，遵照中华人民共和国有关法律、法规和政策执行。</w:t>
      </w:r>
    </w:p>
    <w:p w14:paraId="374D031E">
      <w:pPr>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三</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本合同空格部分填写的文字或复印的文字与印刷文字具有同等效力。</w:t>
      </w:r>
    </w:p>
    <w:p w14:paraId="1B00E123">
      <w:pPr>
        <w:keepNext w:val="0"/>
        <w:keepLines w:val="0"/>
        <w:pageBreakBefore w:val="0"/>
        <w:widowControl/>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甲方按本合同列明的乙方联系方式以直接送达、手机短信、电子邮件、邮寄、公告等方式向乙方送达相关文件的，即视为该文件已经通知并送达，甲方已履行告知义务。乙方联系方式发生变更的，应自变更之日起七日内以书面形式通知甲方，否则乙方联系方式以本合同约定的为准。</w:t>
      </w:r>
    </w:p>
    <w:p w14:paraId="0911777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五</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本合同在履行中发生争议，由甲、乙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方协商解决。协商不成时，甲、乙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方同意</w:t>
      </w:r>
      <w:r>
        <w:rPr>
          <w:rFonts w:hint="eastAsia" w:ascii="仿宋_GB2312" w:hAnsi="仿宋_GB2312" w:eastAsia="仿宋_GB2312"/>
          <w:color w:val="000000"/>
          <w:sz w:val="32"/>
          <w:szCs w:val="32"/>
          <w:lang w:val="en-US" w:eastAsia="zh-CN"/>
        </w:rPr>
        <w:t>向屯昌县人民法院起诉</w:t>
      </w:r>
      <w:r>
        <w:rPr>
          <w:rFonts w:hint="eastAsia" w:ascii="仿宋_GB2312" w:hAnsi="仿宋_GB2312" w:eastAsia="仿宋_GB2312"/>
          <w:color w:val="000000"/>
          <w:sz w:val="32"/>
          <w:szCs w:val="32"/>
        </w:rPr>
        <w:t>。</w:t>
      </w:r>
    </w:p>
    <w:p w14:paraId="419A371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合同生效</w:t>
      </w:r>
    </w:p>
    <w:p w14:paraId="12336F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本合同自</w:t>
      </w:r>
      <w:r>
        <w:rPr>
          <w:rFonts w:hint="eastAsia" w:ascii="仿宋_GB2312" w:hAnsi="仿宋_GB2312" w:eastAsia="仿宋_GB2312"/>
          <w:color w:val="000000"/>
          <w:sz w:val="32"/>
          <w:szCs w:val="32"/>
          <w:lang w:eastAsia="zh-CN"/>
        </w:rPr>
        <w:t>甲、乙双</w:t>
      </w:r>
      <w:r>
        <w:rPr>
          <w:rFonts w:hint="eastAsia" w:ascii="仿宋_GB2312" w:hAnsi="仿宋_GB2312" w:eastAsia="仿宋_GB2312"/>
          <w:color w:val="000000"/>
          <w:sz w:val="32"/>
          <w:szCs w:val="32"/>
        </w:rPr>
        <w:t>方签字并盖章之日起生效。本合同一式</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rPr>
        <w:t>份，甲方执</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乙方执</w:t>
      </w:r>
      <w:r>
        <w:rPr>
          <w:rFonts w:hint="eastAsia" w:ascii="仿宋_GB2312" w:hAnsi="仿宋_GB2312" w:eastAsia="仿宋_GB2312"/>
          <w:color w:val="000000"/>
          <w:sz w:val="32"/>
          <w:szCs w:val="32"/>
          <w:lang w:val="en-US" w:eastAsia="zh-CN"/>
        </w:rPr>
        <w:t>一</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均具有同等</w:t>
      </w:r>
      <w:r>
        <w:rPr>
          <w:rFonts w:hint="eastAsia" w:ascii="仿宋_GB2312" w:hAnsi="仿宋_GB2312" w:eastAsia="仿宋_GB2312"/>
          <w:color w:val="000000"/>
          <w:sz w:val="32"/>
          <w:szCs w:val="32"/>
          <w:lang w:val="en-US" w:eastAsia="zh-CN"/>
        </w:rPr>
        <w:t>法律</w:t>
      </w:r>
      <w:r>
        <w:rPr>
          <w:rFonts w:hint="eastAsia" w:ascii="仿宋_GB2312" w:hAnsi="仿宋_GB2312" w:eastAsia="仿宋_GB2312"/>
          <w:color w:val="000000"/>
          <w:sz w:val="32"/>
          <w:szCs w:val="32"/>
        </w:rPr>
        <w:t>效力。</w:t>
      </w:r>
    </w:p>
    <w:p w14:paraId="1457642A">
      <w:pPr>
        <w:keepNext w:val="0"/>
        <w:keepLines w:val="0"/>
        <w:pageBreakBefore w:val="0"/>
        <w:widowControl w:val="0"/>
        <w:kinsoku/>
        <w:wordWrap/>
        <w:overflowPunct/>
        <w:topLinePunct w:val="0"/>
        <w:autoSpaceDE/>
        <w:autoSpaceDN/>
        <w:bidi w:val="0"/>
        <w:snapToGrid/>
        <w:spacing w:line="590" w:lineRule="exac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00CB560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甲方（签章）：                  </w:t>
      </w:r>
    </w:p>
    <w:p w14:paraId="1C4F1E5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甲方法定代表人（签章）：       </w:t>
      </w:r>
    </w:p>
    <w:p w14:paraId="44D2CC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B47AD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31D9A77">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522389BC">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乙方（签章）：</w:t>
      </w:r>
    </w:p>
    <w:p w14:paraId="162228F5">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乙方法定代表人（签章）：</w:t>
      </w:r>
      <w:r>
        <w:rPr>
          <w:rFonts w:hint="eastAsia" w:ascii="仿宋_GB2312" w:hAnsi="仿宋_GB2312" w:eastAsia="仿宋_GB2312"/>
          <w:color w:val="000000"/>
          <w:sz w:val="32"/>
          <w:szCs w:val="32"/>
        </w:rPr>
        <w:br w:type="textWrapping"/>
      </w:r>
    </w:p>
    <w:p w14:paraId="36E6AED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w:t>
      </w:r>
      <w:r>
        <w:rPr>
          <w:rFonts w:ascii="仿宋_GB2312" w:hAnsi="仿宋_GB2312" w:eastAsia="仿宋_GB2312"/>
          <w:color w:val="000000"/>
          <w:sz w:val="32"/>
          <w:szCs w:val="32"/>
        </w:rPr>
        <w:t xml:space="preserve">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EC8E30D-2F09-4C8B-843B-F447F5A382A0}"/>
  </w:font>
  <w:font w:name="方正小标宋_GBK">
    <w:panose1 w:val="02000000000000000000"/>
    <w:charset w:val="86"/>
    <w:family w:val="script"/>
    <w:pitch w:val="default"/>
    <w:sig w:usb0="00000001" w:usb1="080E0000" w:usb2="00000000" w:usb3="00000000" w:csb0="00040000" w:csb1="00000000"/>
    <w:embedRegular r:id="rId2" w:fontKey="{450C964A-A62B-4737-9129-A8BC64760B6D}"/>
  </w:font>
  <w:font w:name="仿宋">
    <w:panose1 w:val="02010609060101010101"/>
    <w:charset w:val="86"/>
    <w:family w:val="modern"/>
    <w:pitch w:val="default"/>
    <w:sig w:usb0="800002BF" w:usb1="38CF7CFA" w:usb2="00000016" w:usb3="00000000" w:csb0="00040001" w:csb1="00000000"/>
    <w:embedRegular r:id="rId3" w:fontKey="{47EE0103-FC8D-4A99-BEB1-17F957BC8D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825">
    <w:pPr>
      <w:pStyle w:val="1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1" name="_x0000_s2049"/>
              <wp:cNvGraphicFramePr/>
              <a:graphic xmlns:a="http://schemas.openxmlformats.org/drawingml/2006/main">
                <a:graphicData uri="http://schemas.microsoft.com/office/word/2010/wordprocessingShape">
                  <wps:wsp>
                    <wps:cNvSpPr/>
                    <wps:spPr>
                      <a:xfrm>
                        <a:off x="0" y="0"/>
                        <a:ext cx="296545" cy="204470"/>
                      </a:xfrm>
                      <a:prstGeom prst="rect">
                        <a:avLst/>
                      </a:prstGeom>
                    </wps:spPr>
                    <wps:txbx>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wps:txbx>
                    <wps:bodyPr rot="0" vert="horz" wrap="square" lIns="0" tIns="0" rIns="0" bIns="0" anchor="t" anchorCtr="0"/>
                  </wps:wsp>
                </a:graphicData>
              </a:graphic>
            </wp:anchor>
          </w:drawing>
        </mc:Choice>
        <mc:Fallback>
          <w:pict>
            <v:rect id="_x0000_s2049" o:spid="_x0000_s1026" o:spt="1" style="position:absolute;left:0pt;margin-top:0pt;height:16.1pt;width:23.35pt;mso-position-horizontal:center;mso-position-horizontal-relative:margin;z-index:251659264;mso-width-relative:page;mso-height-relative:page;" filled="f" stroked="f" coordsize="21600,21600" o:gfxdata="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ta2n1gAAAAMBAAAPAAAAAAAAAAEAIAAAACIAAABkcnMvZG93bnJldi54bWxQSwECFAAUAAAACACH&#10;TuJAUOHAULQBAAB0AwAADgAAAAAAAAABACAAAAAlAQAAZHJzL2Uyb0RvYy54bWxQSwUGAAAAAAYA&#10;BgBZAQAASwUAAAAA&#10;">
              <v:fill on="f" focussize="0,0"/>
              <v:stroke on="f"/>
              <v:imagedata o:title=""/>
              <o:lock v:ext="edit" aspectratio="f"/>
              <v:textbox inset="0mm,0mm,0mm,0mm">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FF33">
    <w:pPr>
      <w:pStyle w:val="1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B75B">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D2B0">
    <w:pPr>
      <w:pStyle w:val="11"/>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BF1F">
    <w:pPr>
      <w:pStyle w:val="11"/>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0AE0">
    <w:pPr>
      <w:pStyle w:val="11"/>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A7D0B"/>
    <w:multiLevelType w:val="singleLevel"/>
    <w:tmpl w:val="BA0A7D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5E06"/>
    <w:rsid w:val="06CC4290"/>
    <w:rsid w:val="12E60488"/>
    <w:rsid w:val="13E93203"/>
    <w:rsid w:val="16231A72"/>
    <w:rsid w:val="249921BB"/>
    <w:rsid w:val="2ED31DB0"/>
    <w:rsid w:val="369B06A2"/>
    <w:rsid w:val="3EF83416"/>
    <w:rsid w:val="4B454A0A"/>
    <w:rsid w:val="4C613384"/>
    <w:rsid w:val="54AA0D3A"/>
    <w:rsid w:val="56031283"/>
    <w:rsid w:val="562B64D0"/>
    <w:rsid w:val="5AC43991"/>
    <w:rsid w:val="5EB94CC5"/>
    <w:rsid w:val="5F3A3045"/>
    <w:rsid w:val="61F93300"/>
    <w:rsid w:val="6392403E"/>
    <w:rsid w:val="6CAD6810"/>
    <w:rsid w:val="76872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批注文字1"/>
    <w:basedOn w:val="1"/>
    <w:qFormat/>
    <w:uiPriority w:val="0"/>
    <w:pPr>
      <w:jc w:val="left"/>
    </w:pPr>
  </w:style>
  <w:style w:type="paragraph" w:customStyle="1" w:styleId="7">
    <w:name w:val="日期1"/>
    <w:basedOn w:val="1"/>
    <w:qFormat/>
    <w:uiPriority w:val="0"/>
    <w:pPr>
      <w:ind w:left="100" w:leftChars="2500"/>
    </w:pPr>
  </w:style>
  <w:style w:type="paragraph" w:customStyle="1" w:styleId="8">
    <w:name w:val="批注框文本1"/>
    <w:basedOn w:val="1"/>
    <w:link w:val="9"/>
    <w:qFormat/>
    <w:uiPriority w:val="0"/>
    <w:rPr>
      <w:rFonts w:ascii="宋体"/>
      <w:sz w:val="18"/>
      <w:szCs w:val="18"/>
    </w:rPr>
  </w:style>
  <w:style w:type="character" w:customStyle="1" w:styleId="9">
    <w:name w:val="批注框文本 字符"/>
    <w:link w:val="8"/>
    <w:qFormat/>
    <w:uiPriority w:val="0"/>
    <w:rPr>
      <w:rFonts w:ascii="宋体"/>
      <w:kern w:val="2"/>
      <w:sz w:val="18"/>
      <w:szCs w:val="18"/>
    </w:r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Body text|1"/>
    <w:basedOn w:val="1"/>
    <w:qFormat/>
    <w:uiPriority w:val="0"/>
    <w:pPr>
      <w:widowControl w:val="0"/>
      <w:shd w:val="clear" w:color="auto" w:fill="auto"/>
      <w:spacing w:line="446" w:lineRule="auto"/>
      <w:ind w:firstLine="400"/>
    </w:pPr>
    <w:rPr>
      <w:rFonts w:ascii="宋体" w:hAnsi="宋体" w:eastAsia="宋体"/>
      <w:color w:val="1A1718"/>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3170</Words>
  <Characters>3211</Characters>
  <Lines>0</Lines>
  <Paragraphs>0</Paragraphs>
  <TotalTime>11</TotalTime>
  <ScaleCrop>false</ScaleCrop>
  <LinksUpToDate>false</LinksUpToDate>
  <CharactersWithSpaces>3484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dudu</dc:creator>
  <cp:lastModifiedBy>柚屿呀</cp:lastModifiedBy>
  <cp:lastPrinted>2025-11-28T07:18:00Z</cp:lastPrinted>
  <dcterms:modified xsi:type="dcterms:W3CDTF">2025-11-28T08:59:51Z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eyJoZGlkIjoiM2FmZTJhMWU5NjU5NzNmMzU0M2EyNDkyYzVlNmFjYjMiLCJ1c2VySWQiOiIxMDMzOTQyMDI4In0=</vt:lpwstr>
  </property>
  <property fmtid="{D5CDD505-2E9C-101B-9397-08002B2CF9AE}" pid="3" name="KSOProductBuildVer">
    <vt:lpwstr>2052-12.1.0.23542</vt:lpwstr>
  </property>
  <property fmtid="{D5CDD505-2E9C-101B-9397-08002B2CF9AE}" pid="4" name="ICV">
    <vt:lpwstr>62A60F77E5D8420283CBEA95A70F0DFD_13</vt:lpwstr>
  </property>
</Properties>
</file>