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42CA">
      <w:pPr>
        <w:pStyle w:val="3"/>
        <w:spacing w:before="13"/>
        <w:rPr>
          <w:sz w:val="28"/>
        </w:rPr>
      </w:pPr>
    </w:p>
    <w:p w14:paraId="33F89B11">
      <w:pPr>
        <w:pStyle w:val="3"/>
        <w:tabs>
          <w:tab w:val="left" w:pos="2499"/>
        </w:tabs>
        <w:spacing w:before="24"/>
        <w:ind w:right="215"/>
        <w:jc w:val="right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合同编号</w:t>
      </w:r>
      <w:r>
        <w:rPr>
          <w:rFonts w:hint="eastAsia" w:ascii="方正黑体_GBK" w:eastAsia="方正黑体_GBK"/>
          <w:color w:val="231F20"/>
          <w:u w:val="single" w:color="231F20"/>
        </w:rPr>
        <w:t>：</w:t>
      </w:r>
      <w:r>
        <w:rPr>
          <w:rFonts w:hint="eastAsia" w:ascii="方正黑体_GBK" w:eastAsia="方正黑体_GBK"/>
          <w:color w:val="231F20"/>
          <w:u w:val="single" w:color="231F20"/>
        </w:rPr>
        <w:tab/>
      </w:r>
    </w:p>
    <w:p w14:paraId="3BA0F742">
      <w:pPr>
        <w:pStyle w:val="3"/>
        <w:rPr>
          <w:rFonts w:ascii="方正黑体_GBK"/>
          <w:sz w:val="20"/>
        </w:rPr>
      </w:pPr>
    </w:p>
    <w:p w14:paraId="1B1EB628">
      <w:pPr>
        <w:pStyle w:val="3"/>
        <w:rPr>
          <w:rFonts w:ascii="方正黑体_GBK"/>
          <w:sz w:val="20"/>
        </w:rPr>
      </w:pPr>
    </w:p>
    <w:p w14:paraId="10827F72">
      <w:pPr>
        <w:pStyle w:val="3"/>
        <w:spacing w:before="1"/>
        <w:rPr>
          <w:rFonts w:ascii="方正黑体_GBK"/>
          <w:sz w:val="19"/>
        </w:rPr>
      </w:pPr>
    </w:p>
    <w:p w14:paraId="66CB6CC6">
      <w:pPr>
        <w:pStyle w:val="2"/>
        <w:ind w:left="3532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集体</w:t>
      </w:r>
      <w:r>
        <w:rPr>
          <w:rFonts w:hint="eastAsia" w:ascii="方正黑体_GBK" w:eastAsia="方正黑体_GBK"/>
          <w:color w:val="231F20"/>
          <w:lang w:val="en-US" w:eastAsia="zh-CN"/>
        </w:rPr>
        <w:t>林地出租</w:t>
      </w:r>
      <w:r>
        <w:rPr>
          <w:rFonts w:hint="eastAsia" w:ascii="方正黑体_GBK" w:eastAsia="方正黑体_GBK"/>
          <w:color w:val="231F20"/>
        </w:rPr>
        <w:t>合同</w:t>
      </w:r>
    </w:p>
    <w:p w14:paraId="2FA66B5F">
      <w:pPr>
        <w:pStyle w:val="3"/>
        <w:spacing w:before="14"/>
        <w:rPr>
          <w:rFonts w:ascii="方正黑体_GBK"/>
          <w:sz w:val="26"/>
        </w:rPr>
      </w:pPr>
    </w:p>
    <w:p w14:paraId="608EEFC2">
      <w:pPr>
        <w:pStyle w:val="3"/>
        <w:tabs>
          <w:tab w:val="left" w:pos="4657"/>
          <w:tab w:val="left" w:pos="9188"/>
        </w:tabs>
        <w:spacing w:line="319" w:lineRule="auto"/>
        <w:ind w:left="557" w:right="215"/>
        <w:jc w:val="both"/>
        <w:rPr>
          <w:rFonts w:hint="eastAsia"/>
          <w:color w:val="231F20"/>
          <w:spacing w:val="-28"/>
        </w:rPr>
      </w:pPr>
      <w:r>
        <w:rPr>
          <w:color w:val="231F20"/>
        </w:rPr>
        <w:t>甲方（</w:t>
      </w:r>
      <w:r>
        <w:rPr>
          <w:rFonts w:hint="eastAsia"/>
          <w:color w:val="231F20"/>
          <w:lang w:val="en-US" w:eastAsia="zh-CN"/>
        </w:rPr>
        <w:t>出租方</w:t>
      </w:r>
      <w:r>
        <w:rPr>
          <w:color w:val="231F20"/>
          <w:spacing w:val="-28"/>
        </w:rPr>
        <w:t>）：</w:t>
      </w:r>
      <w:r>
        <w:rPr>
          <w:rFonts w:hint="eastAsia"/>
          <w:color w:val="231F20"/>
          <w:spacing w:val="-28"/>
          <w:u w:val="single"/>
        </w:rPr>
        <w:t>文昌市龙楼镇吉水村吉水七二组股份经济合作社</w:t>
      </w:r>
    </w:p>
    <w:p w14:paraId="51B354BA">
      <w:pPr>
        <w:pStyle w:val="3"/>
        <w:tabs>
          <w:tab w:val="left" w:pos="4657"/>
          <w:tab w:val="left" w:pos="9188"/>
        </w:tabs>
        <w:spacing w:line="319" w:lineRule="auto"/>
        <w:ind w:left="557" w:right="215"/>
        <w:jc w:val="both"/>
        <w:rPr>
          <w:rFonts w:ascii="Times New Roman" w:hAnsi="Times New Roman" w:eastAsia="Times New Roman"/>
          <w:color w:val="231F20"/>
          <w:u w:val="single" w:color="auto"/>
        </w:rPr>
      </w:pPr>
      <w:r>
        <w:rPr>
          <w:color w:val="231F20"/>
        </w:rPr>
        <w:t xml:space="preserve">统一社会信用代码 : </w:t>
      </w:r>
      <w:r>
        <w:rPr>
          <w:rFonts w:hint="eastAsia"/>
          <w:color w:val="231F20"/>
          <w:u w:val="single" w:color="auto"/>
        </w:rPr>
        <w:t>N1469005MF9035458N</w:t>
      </w:r>
      <w:r>
        <w:rPr>
          <w:rFonts w:ascii="Times New Roman" w:hAnsi="Times New Roman" w:eastAsia="Times New Roman"/>
          <w:color w:val="231F20"/>
          <w:u w:val="single" w:color="auto"/>
        </w:rPr>
        <w:t xml:space="preserve"> </w:t>
      </w:r>
    </w:p>
    <w:p w14:paraId="58EEF9B9">
      <w:pPr>
        <w:pStyle w:val="3"/>
        <w:tabs>
          <w:tab w:val="left" w:pos="4657"/>
          <w:tab w:val="left" w:pos="9188"/>
        </w:tabs>
        <w:spacing w:line="319" w:lineRule="auto"/>
        <w:ind w:left="557" w:right="215"/>
        <w:jc w:val="both"/>
        <w:rPr>
          <w:rFonts w:hint="default" w:eastAsia="方正书宋_GBK"/>
          <w:color w:val="231F20"/>
          <w:u w:val="single" w:color="231F20"/>
          <w:lang w:val="en-US" w:eastAsia="zh-CN"/>
        </w:rPr>
      </w:pPr>
      <w:r>
        <w:rPr>
          <w:color w:val="231F20"/>
        </w:rPr>
        <w:t>法定代表人（负责人</w:t>
      </w:r>
      <w:r>
        <w:rPr>
          <w:color w:val="231F20"/>
          <w:spacing w:val="-28"/>
        </w:rPr>
        <w:t>）：</w:t>
      </w:r>
      <w:r>
        <w:rPr>
          <w:rFonts w:hint="eastAsia"/>
          <w:color w:val="231F20"/>
          <w:spacing w:val="-28"/>
          <w:u w:val="single"/>
        </w:rPr>
        <w:t>符文良</w:t>
      </w:r>
      <w:r>
        <w:rPr>
          <w:rFonts w:hint="eastAsia"/>
          <w:color w:val="231F20"/>
          <w:spacing w:val="-28"/>
          <w:u w:val="single"/>
          <w:lang w:val="en-US" w:eastAsia="zh-CN"/>
        </w:rPr>
        <w:t xml:space="preserve">                                       </w:t>
      </w:r>
      <w:r>
        <w:rPr>
          <w:color w:val="231F20"/>
        </w:rPr>
        <w:t>身份证号码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  <w:lang w:val="en-US" w:eastAsia="zh-CN"/>
        </w:rPr>
        <w:t>460022197602233019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联系地址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spacing w:val="-28"/>
          <w:u w:val="single"/>
          <w:lang w:val="en-US" w:eastAsia="zh-CN"/>
        </w:rPr>
        <w:t>文昌市龙楼镇吉水村委会吉水七二村民小组</w:t>
      </w:r>
      <w:r>
        <w:rPr>
          <w:rFonts w:hint="eastAsia"/>
          <w:color w:val="231F20"/>
          <w:u w:val="single" w:color="231F20"/>
          <w:lang w:val="en-US" w:eastAsia="zh-CN"/>
        </w:rPr>
        <w:t xml:space="preserve"> </w:t>
      </w:r>
      <w:r>
        <w:rPr>
          <w:color w:val="231F20"/>
        </w:rPr>
        <w:t>联系电话</w:t>
      </w:r>
      <w:r>
        <w:rPr>
          <w:color w:val="231F20"/>
          <w:u w:val="single" w:color="231F20"/>
        </w:rPr>
        <w:t>：</w:t>
      </w:r>
      <w:r>
        <w:rPr>
          <w:rFonts w:hint="eastAsia"/>
          <w:color w:val="231F20"/>
          <w:u w:val="single" w:color="231F20"/>
        </w:rPr>
        <w:t>13907505383</w:t>
      </w:r>
      <w:r>
        <w:rPr>
          <w:rFonts w:hint="eastAsia"/>
          <w:color w:val="231F20"/>
          <w:u w:val="single" w:color="231F20"/>
          <w:lang w:val="en-US" w:eastAsia="zh-CN"/>
        </w:rPr>
        <w:t xml:space="preserve">                                         </w:t>
      </w:r>
    </w:p>
    <w:p w14:paraId="7601D6D4">
      <w:pPr>
        <w:pStyle w:val="3"/>
        <w:tabs>
          <w:tab w:val="left" w:pos="4657"/>
          <w:tab w:val="left" w:pos="9188"/>
        </w:tabs>
        <w:spacing w:line="319" w:lineRule="auto"/>
        <w:ind w:left="557" w:right="215"/>
        <w:jc w:val="both"/>
      </w:pPr>
      <w:r>
        <w:rPr>
          <w:color w:val="231F20"/>
        </w:rPr>
        <w:t>经营主体类型</w:t>
      </w:r>
      <w:r>
        <w:rPr>
          <w:color w:val="231F20"/>
          <w:spacing w:val="-28"/>
        </w:rPr>
        <w:t>：□</w:t>
      </w:r>
      <w:r>
        <w:rPr>
          <w:color w:val="231F20"/>
        </w:rPr>
        <w:t>自然人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□农民合作社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□集体经济组织</w:t>
      </w:r>
      <w:r>
        <w:rPr>
          <w:rFonts w:hint="eastAsia"/>
          <w:color w:val="231F20"/>
          <w:lang w:eastAsia="zh-CN"/>
        </w:rPr>
        <w:t>□</w:t>
      </w:r>
      <w:r>
        <w:rPr>
          <w:color w:val="231F20"/>
        </w:rPr>
        <w:t>企业法人</w:t>
      </w:r>
      <w:r>
        <w:rPr>
          <w:rFonts w:hint="eastAsia"/>
          <w:color w:val="231F20"/>
          <w:lang w:eastAsia="zh-CN"/>
        </w:rPr>
        <w:t>□</w:t>
      </w:r>
      <w:r>
        <w:rPr>
          <w:color w:val="231F20"/>
        </w:rPr>
        <w:t>事业法人</w:t>
      </w:r>
      <w:r>
        <w:rPr>
          <w:rFonts w:hint="eastAsia"/>
          <w:color w:val="231F20"/>
          <w:lang w:eastAsia="zh-CN"/>
        </w:rPr>
        <w:t>□</w:t>
      </w:r>
      <w:r>
        <w:rPr>
          <w:color w:val="231F20"/>
        </w:rPr>
        <w:t>其他</w:t>
      </w:r>
    </w:p>
    <w:p w14:paraId="3B1D3C7E">
      <w:pPr>
        <w:pStyle w:val="3"/>
        <w:spacing w:line="20" w:lineRule="exact"/>
        <w:ind w:left="5871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3810" cy="3810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" cy="3810"/>
                          <a:chOff x="0" y="0"/>
                          <a:chExt cx="6" cy="6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3"/>
                            <a:ext cx="6" cy="0"/>
                          </a:xfrm>
                          <a:prstGeom prst="line">
                            <a:avLst/>
                          </a:prstGeom>
                          <a:ln w="3594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3pt;width:0.3pt;" coordsize="6,6" o:gfxdata="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xs40AAAAP8AAAAPAAAAAAAAAAEAIAAAACIAAABkcnMv&#10;ZG93bnJldi54bWxQSwECFAAUAAAACACHTuJAvvbEvUQCAAD0BAAADgAAAAAAAAABACAAAAAfAQAA&#10;ZHJzL2Uyb0RvYy54bWxQSwUGAAAAAAYABgBZAQAA1QUAAAAA&#10;">
                <o:lock v:ext="edit" aspectratio="f"/>
                <v:line id="直线 3" o:spid="_x0000_s1026" o:spt="20" style="position:absolute;left:0;top:3;height:0;width:6;" filled="f" stroked="t" coordsize="21600,21600" o:gfxdata="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ftFq5AAAA2gAA&#10;AA8AAAAAAAAAAQAgAAAAIgAAAGRycy9kb3ducmV2LnhtbFBLAQIUABQAAAAIAIdO4kAzLwWeOwAA&#10;ADkAAAAQAAAAAAAAAAEAIAAAAAgBAABkcnMvc2hhcGV4bWwueG1sUEsFBgAAAAAGAAYAWwEAALID&#10;AAAAAA==&#10;">
                  <v:fill on="f" focussize="0,0"/>
                  <v:stroke weight="0.282992125984252pt" color="#231F2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2C39FB21">
      <w:pPr>
        <w:pStyle w:val="3"/>
        <w:spacing w:before="10"/>
        <w:rPr>
          <w:sz w:val="21"/>
        </w:rPr>
      </w:pPr>
    </w:p>
    <w:p w14:paraId="67756FE0">
      <w:pPr>
        <w:pStyle w:val="3"/>
        <w:tabs>
          <w:tab w:val="left" w:pos="4637"/>
          <w:tab w:val="left" w:pos="9188"/>
        </w:tabs>
        <w:spacing w:before="1" w:line="319" w:lineRule="auto"/>
        <w:ind w:left="557" w:right="215"/>
        <w:jc w:val="both"/>
      </w:pPr>
      <w:r>
        <w:rPr>
          <w:color w:val="231F20"/>
        </w:rPr>
        <w:t>乙方（</w:t>
      </w:r>
      <w:r>
        <w:rPr>
          <w:rFonts w:hint="eastAsia"/>
          <w:color w:val="231F20"/>
          <w:lang w:val="en-US" w:eastAsia="zh-CN"/>
        </w:rPr>
        <w:t>承租方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  <w:u w:val="single"/>
        </w:rPr>
        <w:tab/>
      </w:r>
      <w:r>
        <w:rPr>
          <w:color w:val="231F20"/>
        </w:rPr>
        <w:t>统一社会信用代码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法定代表人（负责人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  <w:u w:val="single"/>
        </w:rPr>
        <w:tab/>
      </w:r>
      <w:r>
        <w:rPr>
          <w:color w:val="231F20"/>
        </w:rPr>
        <w:t>身份证号码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联系地址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联系电话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经营主体类型</w:t>
      </w:r>
      <w:r>
        <w:rPr>
          <w:color w:val="231F20"/>
          <w:spacing w:val="-28"/>
        </w:rPr>
        <w:t>：□</w:t>
      </w:r>
      <w:r>
        <w:rPr>
          <w:color w:val="231F20"/>
        </w:rPr>
        <w:t>自然人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□农民合作社 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□集体经济组织□企业法人□事业法人□其他</w:t>
      </w:r>
    </w:p>
    <w:p w14:paraId="4B7958E8">
      <w:pPr>
        <w:pStyle w:val="3"/>
        <w:spacing w:line="20" w:lineRule="exact"/>
        <w:ind w:left="5871"/>
        <w:rPr>
          <w:sz w:val="24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3810" cy="3810"/>
                <wp:effectExtent l="0" t="0" r="0" b="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" cy="3810"/>
                          <a:chOff x="0" y="0"/>
                          <a:chExt cx="6" cy="6"/>
                        </a:xfrm>
                      </wpg:grpSpPr>
                      <wps:wsp>
                        <wps:cNvPr id="3" name="直线 5"/>
                        <wps:cNvCnPr/>
                        <wps:spPr>
                          <a:xfrm>
                            <a:off x="0" y="3"/>
                            <a:ext cx="6" cy="0"/>
                          </a:xfrm>
                          <a:prstGeom prst="line">
                            <a:avLst/>
                          </a:prstGeom>
                          <a:ln w="3594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3pt;width:0.3pt;" coordsize="6,6" o:gfxdata="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A/GzjQAAAA/wAAAA8AAAAAAAAAAQAgAAAAIgAAAGRy&#10;cy9kb3ducmV2LnhtbFBLAQIUABQAAAAIAIdO4kBfeOxlRgIAAPQEAAAOAAAAAAAAAAEAIAAAAB8B&#10;AABkcnMvZTJvRG9jLnhtbFBLBQYAAAAABgAGAFkBAADXBQAAAAA=&#10;">
                <o:lock v:ext="edit" aspectratio="f"/>
                <v:line id="直线 5" o:spid="_x0000_s1026" o:spt="20" style="position:absolute;left:0;top:3;height:0;width:6;" filled="f" stroked="t" coordsize="21600,21600" o:gfxdata="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cGPtr4A&#10;AADaAAAADwAAAAAAAAABACAAAAAiAAAAZHJzL2Rvd25yZXYueG1sUEsBAhQAFAAAAAgAh07iQDMv&#10;BZ47AAAAOQAAABAAAAAAAAAAAQAgAAAADQEAAGRycy9zaGFwZXhtbC54bWxQSwUGAAAAAAYABgBb&#10;AQAAtwMAAAAA&#10;">
                  <v:fill on="f" focussize="0,0"/>
                  <v:stroke weight="0.282992125984252pt" color="#231F2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7FAA13EA">
      <w:pPr>
        <w:pStyle w:val="3"/>
        <w:spacing w:before="11"/>
        <w:rPr>
          <w:sz w:val="21"/>
        </w:rPr>
      </w:pPr>
    </w:p>
    <w:p w14:paraId="42BDF3E3">
      <w:pPr>
        <w:pStyle w:val="3"/>
        <w:spacing w:line="319" w:lineRule="auto"/>
        <w:ind w:left="117" w:right="105" w:firstLine="440"/>
        <w:rPr>
          <w:color w:val="auto"/>
        </w:rPr>
      </w:pPr>
      <w:r>
        <w:rPr>
          <w:rFonts w:hint="eastAsia"/>
          <w:color w:val="auto"/>
          <w:spacing w:val="-19"/>
        </w:rPr>
        <w:t>为规范集体林地出租行为，维护出租当事人合法权益，根据《中华人民共和国农村土地承包法》、《中华人民共和国森林法》、《中华人民共和国民法典》等相关规定，经甲乙双方平等协商，自愿订立本合同。</w:t>
      </w:r>
    </w:p>
    <w:p w14:paraId="28053CE1">
      <w:pPr>
        <w:pStyle w:val="3"/>
        <w:tabs>
          <w:tab w:val="left" w:pos="1437"/>
        </w:tabs>
        <w:spacing w:before="19"/>
        <w:ind w:left="557"/>
      </w:pPr>
      <w:r>
        <w:rPr>
          <w:rFonts w:hint="eastAsia" w:ascii="方正黑体_GBK" w:eastAsia="方正黑体_GBK"/>
          <w:color w:val="231F20"/>
        </w:rPr>
        <w:t>第一条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特定术语和规范</w:t>
      </w:r>
    </w:p>
    <w:p w14:paraId="5B52CBD7">
      <w:pPr>
        <w:pStyle w:val="3"/>
        <w:spacing w:before="109" w:line="319" w:lineRule="auto"/>
        <w:ind w:left="117" w:right="213" w:firstLine="330"/>
        <w:jc w:val="both"/>
        <w:rPr>
          <w:color w:val="auto"/>
        </w:rPr>
      </w:pPr>
      <w:r>
        <w:rPr>
          <w:color w:val="auto"/>
        </w:rPr>
        <w:t>（一）</w:t>
      </w:r>
      <w:r>
        <w:rPr>
          <w:rFonts w:hint="eastAsia"/>
          <w:color w:val="auto"/>
        </w:rPr>
        <w:t>本合同所称集体林地出租，是指在不改变集体林地所有权、林地用途和公益林、天然林性质的前提下，林权权利人将其依法取得的林地经营权，在一定期限内出租给乙方用于林业生产经营，并由乙方向甲方支付租金的行为。</w:t>
      </w:r>
    </w:p>
    <w:p w14:paraId="539C75CB">
      <w:pPr>
        <w:pStyle w:val="3"/>
        <w:spacing w:before="24" w:line="319" w:lineRule="auto"/>
        <w:ind w:left="117" w:right="209" w:firstLine="330"/>
        <w:jc w:val="both"/>
        <w:rPr>
          <w:color w:val="auto"/>
        </w:rPr>
      </w:pPr>
      <w:r>
        <w:rPr>
          <w:color w:val="auto"/>
          <w:spacing w:val="2"/>
        </w:rPr>
        <w:t>（二）</w:t>
      </w:r>
      <w:r>
        <w:rPr>
          <w:rFonts w:hint="eastAsia"/>
          <w:color w:val="auto"/>
          <w:spacing w:val="0"/>
        </w:rPr>
        <w:t>集体林地出租应当遵循依法、自愿、公平、诚信原则，任何组织和个人不得强迫或阻碍。出租不得改变林地所有权性质和林业用途，不得破坏林业综合生产能力和生态环境；出租期限不得超过承包期的剩余期限，且最长不得超过70年</w:t>
      </w:r>
      <w:r>
        <w:rPr>
          <w:color w:val="auto"/>
          <w:spacing w:val="-1"/>
        </w:rPr>
        <w:t>。</w:t>
      </w:r>
    </w:p>
    <w:p w14:paraId="42FA215B">
      <w:pPr>
        <w:pStyle w:val="3"/>
        <w:spacing w:before="26" w:line="319" w:lineRule="auto"/>
        <w:ind w:left="117" w:firstLine="330"/>
        <w:rPr>
          <w:color w:val="auto"/>
        </w:rPr>
      </w:pPr>
      <w:r>
        <w:rPr>
          <w:color w:val="auto"/>
        </w:rPr>
        <w:t>（三）</w:t>
      </w:r>
      <w:r>
        <w:rPr>
          <w:rFonts w:hint="eastAsia"/>
          <w:color w:val="auto"/>
        </w:rPr>
        <w:t>承租方须具备林业经营能力或相应资质。工商企业等社会资本通过出租取得林地经营权的，应当依规接受资格审查和项目审核。</w:t>
      </w:r>
    </w:p>
    <w:p w14:paraId="11BC7300">
      <w:pPr>
        <w:pStyle w:val="3"/>
        <w:spacing w:before="26" w:line="319" w:lineRule="auto"/>
        <w:ind w:left="117" w:right="213" w:firstLine="330"/>
        <w:jc w:val="both"/>
        <w:rPr>
          <w:color w:val="auto"/>
        </w:rPr>
      </w:pPr>
      <w:r>
        <w:rPr>
          <w:color w:val="auto"/>
        </w:rPr>
        <w:t>（四）</w:t>
      </w:r>
      <w:r>
        <w:rPr>
          <w:rFonts w:hint="eastAsia"/>
          <w:color w:val="auto"/>
        </w:rPr>
        <w:t>林地出租以登记的宗地为基本单元，林地上的林木所有权、使用权原则上随林地经营权一并出租，但合同另有约定的除外。</w:t>
      </w:r>
    </w:p>
    <w:p w14:paraId="76153E34">
      <w:pPr>
        <w:pStyle w:val="3"/>
        <w:spacing w:before="26" w:line="319" w:lineRule="auto"/>
        <w:ind w:left="117" w:right="213" w:firstLine="330"/>
        <w:jc w:val="both"/>
        <w:rPr>
          <w:color w:val="auto"/>
        </w:rPr>
      </w:pPr>
      <w:r>
        <w:rPr>
          <w:color w:val="auto"/>
        </w:rPr>
        <w:t>（五）</w:t>
      </w:r>
      <w:r>
        <w:rPr>
          <w:rFonts w:hint="eastAsia"/>
          <w:color w:val="auto"/>
        </w:rPr>
        <w:t>林地经营权出租期限为五年以上的，当事人可以向登记机构申请林地经营权登记。未经登记，不得对抗善意第三人。</w:t>
      </w:r>
    </w:p>
    <w:p w14:paraId="5B72A437">
      <w:pPr>
        <w:pStyle w:val="3"/>
        <w:tabs>
          <w:tab w:val="left" w:pos="1437"/>
        </w:tabs>
        <w:spacing w:before="19"/>
        <w:ind w:left="557"/>
      </w:pPr>
      <w:r>
        <w:rPr>
          <w:rFonts w:hint="eastAsia" w:ascii="方正黑体_GBK" w:eastAsia="方正黑体_GBK"/>
          <w:color w:val="231F20"/>
        </w:rPr>
        <w:t>第二条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出租标的</w:t>
      </w:r>
      <w:r>
        <w:rPr>
          <w:rFonts w:hint="eastAsia" w:ascii="方正黑体_GBK" w:eastAsia="方正黑体_GBK"/>
          <w:color w:val="231F20"/>
          <w:lang w:val="en-US" w:eastAsia="zh-CN"/>
        </w:rPr>
        <w:t>及</w:t>
      </w:r>
      <w:r>
        <w:rPr>
          <w:rFonts w:hint="eastAsia" w:ascii="方正黑体_GBK" w:eastAsia="方正黑体_GBK"/>
          <w:color w:val="231F20"/>
        </w:rPr>
        <w:t>期限</w:t>
      </w:r>
    </w:p>
    <w:p w14:paraId="623260BE">
      <w:pPr>
        <w:pStyle w:val="3"/>
        <w:tabs>
          <w:tab w:val="left" w:pos="1437"/>
          <w:tab w:val="left" w:pos="7373"/>
          <w:tab w:val="left" w:pos="7417"/>
        </w:tabs>
        <w:spacing w:before="108" w:line="319" w:lineRule="auto"/>
        <w:ind w:left="117" w:right="213" w:firstLine="330"/>
        <w:jc w:val="both"/>
      </w:pPr>
      <w:r>
        <w:rPr>
          <w:color w:val="231F20"/>
        </w:rPr>
        <w:t>（一）</w:t>
      </w:r>
      <w:r>
        <w:rPr>
          <w:rFonts w:hint="eastAsia"/>
          <w:color w:val="231F20"/>
        </w:rPr>
        <w:t>经自愿协商，甲方同意将下表所列宗地林地经营权出租给乙方，</w:t>
      </w:r>
      <w:r>
        <w:rPr>
          <w:rFonts w:hint="eastAsia"/>
          <w:color w:val="231F20"/>
          <w:lang w:val="en-US" w:eastAsia="zh-CN"/>
        </w:rPr>
        <w:t>共计</w:t>
      </w:r>
      <w:r>
        <w:rPr>
          <w:rFonts w:hint="eastAsia"/>
          <w:color w:val="231F20"/>
          <w:u w:val="single"/>
          <w:lang w:val="en-US" w:eastAsia="zh-CN"/>
        </w:rPr>
        <w:t xml:space="preserve"> 84.62 </w:t>
      </w:r>
      <w:r>
        <w:rPr>
          <w:rFonts w:hint="eastAsia"/>
          <w:color w:val="231F20"/>
          <w:u w:val="none"/>
          <w:lang w:val="en-US" w:eastAsia="zh-CN"/>
        </w:rPr>
        <w:t>亩林地，土地四至为：</w:t>
      </w:r>
      <w:r>
        <w:rPr>
          <w:rFonts w:hint="eastAsia"/>
          <w:color w:val="231F20"/>
          <w:u w:val="single"/>
          <w:lang w:val="en-US" w:eastAsia="zh-CN"/>
        </w:rPr>
        <w:t xml:space="preserve"> </w:t>
      </w:r>
      <w:r>
        <w:rPr>
          <w:rFonts w:hint="eastAsia"/>
          <w:color w:val="0000FF"/>
          <w:u w:val="single"/>
          <w:lang w:val="en-US" w:eastAsia="zh-CN"/>
        </w:rPr>
        <w:t xml:space="preserve">东至八队交界，南至石龙新村地界，西至五队交界，北至七队耕地   </w:t>
      </w:r>
      <w:r>
        <w:rPr>
          <w:rFonts w:hint="eastAsia"/>
          <w:color w:val="231F20"/>
          <w:u w:val="single"/>
          <w:lang w:val="en-US" w:eastAsia="zh-CN"/>
        </w:rPr>
        <w:t xml:space="preserve">     </w:t>
      </w:r>
      <w:r>
        <w:rPr>
          <w:rFonts w:hint="eastAsia"/>
          <w:color w:val="231F20"/>
          <w:u w:val="none"/>
          <w:lang w:val="en-US" w:eastAsia="zh-CN"/>
        </w:rPr>
        <w:t xml:space="preserve"> 。土地性质为：</w:t>
      </w:r>
      <w:r>
        <w:rPr>
          <w:rFonts w:hint="eastAsia"/>
          <w:color w:val="231F20"/>
          <w:u w:val="single"/>
          <w:lang w:val="en-US" w:eastAsia="zh-CN"/>
        </w:rPr>
        <w:t>三级林地</w:t>
      </w:r>
      <w:r>
        <w:rPr>
          <w:rFonts w:hint="eastAsia"/>
          <w:color w:val="231F20"/>
          <w:u w:val="none"/>
          <w:lang w:val="en-US" w:eastAsia="zh-CN"/>
        </w:rPr>
        <w:t>。</w:t>
      </w:r>
      <w:r>
        <w:rPr>
          <w:rFonts w:hint="eastAsia"/>
          <w:color w:val="231F20"/>
        </w:rPr>
        <w:t>出租期限共</w:t>
      </w:r>
      <w:r>
        <w:rPr>
          <w:rFonts w:hint="eastAsia"/>
          <w:color w:val="231F20"/>
          <w:u w:val="single"/>
          <w:lang w:val="en-US" w:eastAsia="zh-CN"/>
        </w:rPr>
        <w:t xml:space="preserve">   29  </w:t>
      </w:r>
      <w:r>
        <w:rPr>
          <w:rFonts w:hint="eastAsia"/>
          <w:color w:val="231F20"/>
        </w:rPr>
        <w:t>年，自</w:t>
      </w:r>
      <w:r>
        <w:rPr>
          <w:rFonts w:hint="eastAsia"/>
          <w:color w:val="231F20"/>
          <w:u w:val="single"/>
          <w:lang w:val="en-US" w:eastAsia="zh-CN"/>
        </w:rPr>
        <w:t xml:space="preserve"> 2026 </w:t>
      </w:r>
      <w:r>
        <w:rPr>
          <w:rFonts w:hint="eastAsia"/>
          <w:color w:val="231F20"/>
        </w:rPr>
        <w:t>年</w:t>
      </w:r>
      <w:r>
        <w:rPr>
          <w:rFonts w:hint="eastAsia"/>
          <w:color w:val="231F20"/>
          <w:u w:val="single"/>
          <w:lang w:val="en-US" w:eastAsia="zh-CN"/>
        </w:rPr>
        <w:t xml:space="preserve">     </w:t>
      </w:r>
      <w:r>
        <w:rPr>
          <w:rFonts w:hint="eastAsia"/>
          <w:color w:val="231F20"/>
        </w:rPr>
        <w:t>月</w:t>
      </w:r>
      <w:r>
        <w:rPr>
          <w:rFonts w:hint="eastAsia"/>
          <w:color w:val="231F20"/>
          <w:u w:val="single"/>
          <w:lang w:val="en-US" w:eastAsia="zh-CN"/>
        </w:rPr>
        <w:t xml:space="preserve">     </w:t>
      </w:r>
      <w:r>
        <w:rPr>
          <w:rFonts w:hint="eastAsia"/>
          <w:color w:val="231F20"/>
        </w:rPr>
        <w:t>日起至</w:t>
      </w:r>
      <w:r>
        <w:rPr>
          <w:rFonts w:hint="eastAsia"/>
          <w:color w:val="231F20"/>
          <w:u w:val="single"/>
          <w:lang w:val="en-US" w:eastAsia="zh-CN"/>
        </w:rPr>
        <w:t xml:space="preserve">  2055  </w:t>
      </w:r>
      <w:r>
        <w:rPr>
          <w:rFonts w:hint="eastAsia"/>
          <w:color w:val="231F20"/>
        </w:rPr>
        <w:t>年</w:t>
      </w:r>
      <w:r>
        <w:rPr>
          <w:rFonts w:hint="eastAsia"/>
          <w:color w:val="231F20"/>
          <w:u w:val="single"/>
          <w:lang w:val="en-US" w:eastAsia="zh-CN"/>
        </w:rPr>
        <w:t xml:space="preserve">    </w:t>
      </w:r>
      <w:r>
        <w:rPr>
          <w:rFonts w:hint="eastAsia"/>
          <w:color w:val="231F20"/>
        </w:rPr>
        <w:t>月</w:t>
      </w:r>
      <w:r>
        <w:rPr>
          <w:rFonts w:hint="eastAsia"/>
          <w:color w:val="231F20"/>
          <w:u w:val="single"/>
          <w:lang w:val="en-US" w:eastAsia="zh-CN"/>
        </w:rPr>
        <w:t xml:space="preserve">       </w:t>
      </w:r>
      <w:r>
        <w:rPr>
          <w:rFonts w:hint="eastAsia"/>
          <w:color w:val="231F20"/>
        </w:rPr>
        <w:t>日止</w:t>
      </w:r>
      <w:r>
        <w:rPr>
          <w:color w:val="231F20"/>
        </w:rPr>
        <w:t>。</w:t>
      </w:r>
    </w:p>
    <w:p w14:paraId="33DF57C4">
      <w:pPr>
        <w:spacing w:before="10"/>
        <w:ind w:left="0" w:right="98" w:firstLine="0"/>
        <w:jc w:val="center"/>
        <w:rPr>
          <w:rFonts w:hint="eastAsia" w:ascii="方正黑体_GBK" w:eastAsia="方正黑体_GBK"/>
          <w:sz w:val="24"/>
        </w:rPr>
      </w:pPr>
      <w:r>
        <w:rPr>
          <w:rFonts w:hint="eastAsia" w:ascii="方正黑体_GBK" w:eastAsia="方正黑体_GBK"/>
          <w:color w:val="auto"/>
          <w:sz w:val="24"/>
        </w:rPr>
        <w:t>林地</w:t>
      </w:r>
      <w:r>
        <w:rPr>
          <w:rFonts w:hint="eastAsia" w:ascii="方正黑体_GBK" w:eastAsia="方正黑体_GBK"/>
          <w:color w:val="auto"/>
          <w:sz w:val="24"/>
          <w:lang w:val="en-US" w:eastAsia="zh-CN"/>
        </w:rPr>
        <w:t>出租</w:t>
      </w:r>
      <w:r>
        <w:rPr>
          <w:rFonts w:hint="eastAsia" w:ascii="方正黑体_GBK" w:eastAsia="方正黑体_GBK"/>
          <w:color w:val="auto"/>
          <w:sz w:val="24"/>
        </w:rPr>
        <w:t>信息表</w:t>
      </w:r>
    </w:p>
    <w:p w14:paraId="69EC167E">
      <w:pPr>
        <w:pStyle w:val="3"/>
        <w:spacing w:before="14"/>
        <w:rPr>
          <w:rFonts w:ascii="方正黑体_GBK"/>
          <w:sz w:val="13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6"/>
        <w:gridCol w:w="2088"/>
        <w:gridCol w:w="1939"/>
        <w:gridCol w:w="1940"/>
      </w:tblGrid>
      <w:tr w14:paraId="220C1FE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096" w:type="dxa"/>
          </w:tcPr>
          <w:p w14:paraId="042DE5ED">
            <w:pPr>
              <w:pStyle w:val="8"/>
              <w:spacing w:before="12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不动产单元号 / 林地宗地号</w:t>
            </w:r>
          </w:p>
        </w:tc>
        <w:tc>
          <w:tcPr>
            <w:tcW w:w="2088" w:type="dxa"/>
          </w:tcPr>
          <w:p w14:paraId="2A240F47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39" w:type="dxa"/>
          </w:tcPr>
          <w:p w14:paraId="4B0C86FE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40" w:type="dxa"/>
          </w:tcPr>
          <w:p w14:paraId="0E7CA69F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  <w:tr w14:paraId="27A3EF6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96" w:type="dxa"/>
          </w:tcPr>
          <w:p w14:paraId="48B3F44C">
            <w:pPr>
              <w:pStyle w:val="8"/>
              <w:spacing w:before="7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地块名称（小地名）</w:t>
            </w:r>
          </w:p>
        </w:tc>
        <w:tc>
          <w:tcPr>
            <w:tcW w:w="2088" w:type="dxa"/>
          </w:tcPr>
          <w:p w14:paraId="1E95323B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39" w:type="dxa"/>
          </w:tcPr>
          <w:p w14:paraId="08619B72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40" w:type="dxa"/>
          </w:tcPr>
          <w:p w14:paraId="42EF5FD8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  <w:tr w14:paraId="5076551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96" w:type="dxa"/>
          </w:tcPr>
          <w:p w14:paraId="0CE95320">
            <w:pPr>
              <w:pStyle w:val="8"/>
              <w:spacing w:before="7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林班号</w:t>
            </w:r>
          </w:p>
        </w:tc>
        <w:tc>
          <w:tcPr>
            <w:tcW w:w="2088" w:type="dxa"/>
          </w:tcPr>
          <w:p w14:paraId="3E1EB6AD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39" w:type="dxa"/>
          </w:tcPr>
          <w:p w14:paraId="191F1F68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40" w:type="dxa"/>
          </w:tcPr>
          <w:p w14:paraId="2335F45C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  <w:tr w14:paraId="5102FDE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96" w:type="dxa"/>
          </w:tcPr>
          <w:p w14:paraId="13E06A9B">
            <w:pPr>
              <w:pStyle w:val="8"/>
              <w:spacing w:before="7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小班号</w:t>
            </w:r>
          </w:p>
        </w:tc>
        <w:tc>
          <w:tcPr>
            <w:tcW w:w="2088" w:type="dxa"/>
          </w:tcPr>
          <w:p w14:paraId="03A289F9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39" w:type="dxa"/>
          </w:tcPr>
          <w:p w14:paraId="234365A4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40" w:type="dxa"/>
          </w:tcPr>
          <w:p w14:paraId="7E3D350B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  <w:tr w14:paraId="5C06578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96" w:type="dxa"/>
          </w:tcPr>
          <w:p w14:paraId="1641186B">
            <w:pPr>
              <w:pStyle w:val="8"/>
              <w:spacing w:before="7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面积（亩）</w:t>
            </w:r>
          </w:p>
        </w:tc>
        <w:tc>
          <w:tcPr>
            <w:tcW w:w="2088" w:type="dxa"/>
          </w:tcPr>
          <w:p w14:paraId="0598DC3F">
            <w:pPr>
              <w:pStyle w:val="8"/>
              <w:rPr>
                <w:rFonts w:hint="default" w:ascii="Times New Roman" w:eastAsia="方正书宋_GBK"/>
                <w:color w:val="auto"/>
                <w:sz w:val="20"/>
                <w:lang w:val="en-US" w:eastAsia="zh-CN"/>
              </w:rPr>
            </w:pPr>
          </w:p>
        </w:tc>
        <w:tc>
          <w:tcPr>
            <w:tcW w:w="1939" w:type="dxa"/>
          </w:tcPr>
          <w:p w14:paraId="28DB595F">
            <w:pPr>
              <w:pStyle w:val="8"/>
              <w:rPr>
                <w:rFonts w:hint="default" w:ascii="Times New Roman" w:eastAsia="方正书宋_GBK"/>
                <w:color w:val="auto"/>
                <w:sz w:val="20"/>
                <w:lang w:val="en-US" w:eastAsia="zh-CN"/>
              </w:rPr>
            </w:pPr>
          </w:p>
        </w:tc>
        <w:tc>
          <w:tcPr>
            <w:tcW w:w="1940" w:type="dxa"/>
          </w:tcPr>
          <w:p w14:paraId="71369CEA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  <w:tr w14:paraId="033BC468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96" w:type="dxa"/>
          </w:tcPr>
          <w:p w14:paraId="72736109">
            <w:pPr>
              <w:pStyle w:val="8"/>
              <w:spacing w:before="7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公益林 / 商品林</w:t>
            </w:r>
          </w:p>
        </w:tc>
        <w:tc>
          <w:tcPr>
            <w:tcW w:w="2088" w:type="dxa"/>
          </w:tcPr>
          <w:p w14:paraId="16709C39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39" w:type="dxa"/>
          </w:tcPr>
          <w:p w14:paraId="4EF54545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40" w:type="dxa"/>
          </w:tcPr>
          <w:p w14:paraId="7E0ECE8D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  <w:tr w14:paraId="250EEFDB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96" w:type="dxa"/>
          </w:tcPr>
          <w:p w14:paraId="5DB1E3DC">
            <w:pPr>
              <w:pStyle w:val="8"/>
              <w:spacing w:before="7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人工林 / 天然林</w:t>
            </w:r>
          </w:p>
        </w:tc>
        <w:tc>
          <w:tcPr>
            <w:tcW w:w="2088" w:type="dxa"/>
          </w:tcPr>
          <w:p w14:paraId="0375C169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39" w:type="dxa"/>
          </w:tcPr>
          <w:p w14:paraId="307C3744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40" w:type="dxa"/>
          </w:tcPr>
          <w:p w14:paraId="1FFBF554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  <w:tr w14:paraId="49C3E2A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96" w:type="dxa"/>
          </w:tcPr>
          <w:p w14:paraId="4279C064">
            <w:pPr>
              <w:pStyle w:val="8"/>
              <w:spacing w:before="7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树种</w:t>
            </w:r>
          </w:p>
        </w:tc>
        <w:tc>
          <w:tcPr>
            <w:tcW w:w="2088" w:type="dxa"/>
          </w:tcPr>
          <w:p w14:paraId="654E7FF9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39" w:type="dxa"/>
          </w:tcPr>
          <w:p w14:paraId="0B631C8C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40" w:type="dxa"/>
          </w:tcPr>
          <w:p w14:paraId="3BC7A984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  <w:tr w14:paraId="0F79E79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96" w:type="dxa"/>
          </w:tcPr>
          <w:p w14:paraId="24CC750C">
            <w:pPr>
              <w:pStyle w:val="8"/>
              <w:spacing w:before="7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起始日期</w:t>
            </w:r>
          </w:p>
        </w:tc>
        <w:tc>
          <w:tcPr>
            <w:tcW w:w="2088" w:type="dxa"/>
          </w:tcPr>
          <w:p w14:paraId="41FC315D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39" w:type="dxa"/>
          </w:tcPr>
          <w:p w14:paraId="0F59ACD4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40" w:type="dxa"/>
          </w:tcPr>
          <w:p w14:paraId="14B1EA2B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  <w:tr w14:paraId="04BEF284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096" w:type="dxa"/>
          </w:tcPr>
          <w:p w14:paraId="49F5047E">
            <w:pPr>
              <w:pStyle w:val="8"/>
              <w:spacing w:before="70"/>
              <w:ind w:left="468" w:right="46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终止日期</w:t>
            </w:r>
          </w:p>
        </w:tc>
        <w:tc>
          <w:tcPr>
            <w:tcW w:w="2088" w:type="dxa"/>
          </w:tcPr>
          <w:p w14:paraId="2A5FDA3D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39" w:type="dxa"/>
          </w:tcPr>
          <w:p w14:paraId="7D4FCC3A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  <w:tc>
          <w:tcPr>
            <w:tcW w:w="1940" w:type="dxa"/>
          </w:tcPr>
          <w:p w14:paraId="33A07136">
            <w:pPr>
              <w:pStyle w:val="8"/>
              <w:rPr>
                <w:rFonts w:ascii="Times New Roman"/>
                <w:color w:val="auto"/>
                <w:sz w:val="20"/>
              </w:rPr>
            </w:pPr>
          </w:p>
        </w:tc>
      </w:tr>
    </w:tbl>
    <w:p w14:paraId="614AC75D">
      <w:pPr>
        <w:pStyle w:val="3"/>
        <w:spacing w:before="1"/>
        <w:rPr>
          <w:rFonts w:ascii="方正黑体_GBK"/>
          <w:sz w:val="36"/>
        </w:rPr>
      </w:pPr>
    </w:p>
    <w:p w14:paraId="2B2CBB3F">
      <w:pPr>
        <w:pStyle w:val="3"/>
        <w:ind w:left="447"/>
        <w:jc w:val="both"/>
        <w:rPr>
          <w:sz w:val="34"/>
        </w:rPr>
      </w:pPr>
      <w:r>
        <w:rPr>
          <w:color w:val="231F20"/>
        </w:rPr>
        <w:t>（二）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林地上的附属建筑和资产情况现状描述</w:t>
      </w:r>
      <w:r>
        <w:rPr>
          <w:color w:val="231F20"/>
        </w:rPr>
        <w:t>：</w:t>
      </w:r>
      <w:r>
        <w:rPr>
          <w:rFonts w:hint="eastAsia"/>
          <w:color w:val="231F20"/>
          <w:u w:val="single"/>
          <w:lang w:val="en-US" w:eastAsia="zh-CN"/>
        </w:rPr>
        <w:t xml:space="preserve">     空地                                                   </w:t>
      </w:r>
      <w:r>
        <w:rPr>
          <w:rFonts w:hint="eastAsia"/>
          <w:color w:val="231F20"/>
          <w:u w:val="none"/>
          <w:lang w:val="en-US" w:eastAsia="zh-CN"/>
        </w:rPr>
        <w:t>。</w:t>
      </w:r>
    </w:p>
    <w:p w14:paraId="06C9752F">
      <w:pPr>
        <w:pStyle w:val="3"/>
        <w:ind w:left="557"/>
        <w:jc w:val="both"/>
      </w:pPr>
      <w:r>
        <w:rPr>
          <w:color w:val="231F20"/>
        </w:rPr>
        <w:t>处置方式描述（可另附件）：</w:t>
      </w:r>
      <w:r>
        <w:rPr>
          <w:rFonts w:hint="eastAsia"/>
          <w:color w:val="231F20"/>
          <w:u w:val="single"/>
          <w:lang w:val="en-US" w:eastAsia="zh-CN"/>
        </w:rPr>
        <w:t xml:space="preserve">地上附属作物由甲方负责清理      </w:t>
      </w:r>
      <w:r>
        <w:rPr>
          <w:rFonts w:hint="eastAsia" w:ascii="Times New Roman" w:eastAsia="宋体"/>
          <w:color w:val="231F20"/>
          <w:u w:val="single" w:color="231F20"/>
          <w:lang w:val="en-US" w:eastAsia="zh-CN"/>
        </w:rPr>
        <w:t xml:space="preserve">                </w:t>
      </w:r>
      <w:r>
        <w:rPr>
          <w:color w:val="231F20"/>
        </w:rPr>
        <w:t>。</w:t>
      </w:r>
    </w:p>
    <w:p w14:paraId="685F3A01">
      <w:pPr>
        <w:pStyle w:val="3"/>
        <w:tabs>
          <w:tab w:val="left" w:pos="2867"/>
          <w:tab w:val="left" w:pos="3527"/>
          <w:tab w:val="left" w:pos="4187"/>
        </w:tabs>
        <w:spacing w:before="108"/>
        <w:ind w:left="447"/>
      </w:pPr>
      <w:r>
        <w:rPr>
          <w:color w:val="231F20"/>
        </w:rPr>
        <w:t>（三）甲方应于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日之前将林地交付乙方。</w:t>
      </w:r>
    </w:p>
    <w:p w14:paraId="4F0FBE4E">
      <w:pPr>
        <w:pStyle w:val="3"/>
        <w:tabs>
          <w:tab w:val="left" w:pos="1437"/>
        </w:tabs>
        <w:spacing w:before="102"/>
        <w:ind w:left="557"/>
      </w:pPr>
      <w:r>
        <w:rPr>
          <w:rFonts w:hint="eastAsia" w:ascii="方正黑体_GBK" w:eastAsia="方正黑体_GBK"/>
          <w:color w:val="231F20"/>
        </w:rPr>
        <w:t>第三条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/>
          <w:color w:val="auto"/>
          <w:lang w:val="en-US" w:eastAsia="zh-CN"/>
        </w:rPr>
        <w:t>租金</w:t>
      </w:r>
      <w:r>
        <w:rPr>
          <w:color w:val="auto"/>
        </w:rPr>
        <w:t>及支付方式</w:t>
      </w:r>
    </w:p>
    <w:p w14:paraId="75FE5848">
      <w:pPr>
        <w:pStyle w:val="3"/>
        <w:tabs>
          <w:tab w:val="left" w:pos="3747"/>
        </w:tabs>
        <w:spacing w:before="108"/>
        <w:ind w:left="447"/>
      </w:pPr>
      <w:r>
        <w:rPr>
          <w:color w:val="231F20"/>
        </w:rPr>
        <w:t>（一）双方协商后确定以下列</w:t>
      </w:r>
      <w:r>
        <w:rPr>
          <w:color w:val="231F20"/>
          <w:u w:val="single" w:color="231F20"/>
        </w:rPr>
        <w:t xml:space="preserve"> </w:t>
      </w:r>
      <w:r>
        <w:rPr>
          <w:rFonts w:hint="eastAsia"/>
          <w:color w:val="231F20"/>
          <w:u w:val="single" w:color="231F20"/>
          <w:lang w:val="en-US" w:eastAsia="zh-CN"/>
        </w:rPr>
        <w:t>2</w:t>
      </w:r>
      <w:r>
        <w:rPr>
          <w:color w:val="231F20"/>
          <w:u w:val="single" w:color="231F20"/>
        </w:rPr>
        <w:tab/>
      </w:r>
      <w:r>
        <w:rPr>
          <w:color w:val="231F20"/>
        </w:rPr>
        <w:t>种方式进行计价：</w:t>
      </w:r>
    </w:p>
    <w:p w14:paraId="0F953012">
      <w:pPr>
        <w:pStyle w:val="7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117" w:leftChars="0" w:right="105" w:rightChars="0" w:firstLine="440" w:firstLineChars="0"/>
        <w:jc w:val="left"/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color="000000"/>
          <w:lang w:val="en-US" w:eastAsia="en-US" w:bidi="ar-SA"/>
        </w:rPr>
      </w:pP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val="none" w:color="auto"/>
          <w:lang w:val="en-US" w:eastAsia="en-US" w:bidi="ar-SA"/>
        </w:rPr>
        <w:t>1.一次性支付。租金按每年每亩 元计算，面积 亩，租期 年，共计人民币 元。乙方应于 年 月 日前一次性付清。</w:t>
      </w:r>
    </w:p>
    <w:p w14:paraId="22EA49E4">
      <w:pPr>
        <w:pStyle w:val="7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117" w:leftChars="0" w:right="105" w:rightChars="0" w:firstLine="440" w:firstLineChars="0"/>
        <w:jc w:val="left"/>
        <w:rPr>
          <w:color w:val="auto"/>
          <w:sz w:val="22"/>
          <w:u w:val="none"/>
        </w:rPr>
      </w:pP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val="none" w:color="auto"/>
          <w:lang w:val="en-US" w:eastAsia="en-US" w:bidi="ar-SA"/>
        </w:rPr>
        <w:t>2.</w:t>
      </w:r>
      <w:r>
        <w:rPr>
          <w:color w:val="auto"/>
          <w:sz w:val="22"/>
          <w:u w:val="none"/>
        </w:rPr>
        <w:t>分期</w:t>
      </w:r>
      <w:r>
        <w:rPr>
          <w:rFonts w:hint="eastAsia"/>
          <w:color w:val="auto"/>
          <w:sz w:val="22"/>
          <w:u w:val="none"/>
          <w:lang w:val="en-US" w:eastAsia="zh-CN"/>
        </w:rPr>
        <w:t>支付</w:t>
      </w:r>
      <w:r>
        <w:rPr>
          <w:color w:val="auto"/>
          <w:sz w:val="22"/>
          <w:u w:val="none"/>
        </w:rPr>
        <w:t>。</w:t>
      </w:r>
      <w:r>
        <w:rPr>
          <w:rFonts w:hint="eastAsia"/>
          <w:color w:val="0000FF"/>
          <w:sz w:val="22"/>
          <w:u w:val="none"/>
          <w:lang w:val="en-US" w:eastAsia="zh-CN"/>
        </w:rPr>
        <w:t>租期29年，</w:t>
      </w:r>
      <w:r>
        <w:rPr>
          <w:color w:val="0000FF"/>
          <w:sz w:val="22"/>
          <w:u w:val="none"/>
        </w:rPr>
        <w:t>共分为</w:t>
      </w:r>
      <w:r>
        <w:rPr>
          <w:rFonts w:hint="eastAsia"/>
          <w:color w:val="0000FF"/>
          <w:sz w:val="22"/>
          <w:u w:val="single" w:color="231F20"/>
          <w:lang w:val="en-US" w:eastAsia="zh-CN"/>
        </w:rPr>
        <w:t>6</w:t>
      </w:r>
      <w:r>
        <w:rPr>
          <w:color w:val="0000FF"/>
          <w:sz w:val="22"/>
          <w:u w:val="none"/>
        </w:rPr>
        <w:t>期</w:t>
      </w:r>
      <w:r>
        <w:rPr>
          <w:rFonts w:hint="eastAsia"/>
          <w:color w:val="0000FF"/>
          <w:sz w:val="22"/>
          <w:u w:val="none"/>
          <w:lang w:val="en-US" w:eastAsia="zh-CN"/>
        </w:rPr>
        <w:t>支付</w:t>
      </w:r>
      <w:r>
        <w:rPr>
          <w:color w:val="0000FF"/>
          <w:sz w:val="22"/>
          <w:u w:val="none"/>
        </w:rPr>
        <w:t>，</w:t>
      </w:r>
      <w:r>
        <w:rPr>
          <w:rFonts w:hint="eastAsia"/>
          <w:color w:val="0000FF"/>
          <w:sz w:val="22"/>
          <w:u w:val="none"/>
        </w:rPr>
        <w:t>其中前5期每期支付期限为5年，最后1期支付期限为4年。租金调整方式：第1-5年年租金保持不变，第6-29年年租金在首年年租金的基础上提高20%。</w:t>
      </w:r>
      <w:r>
        <w:rPr>
          <w:rFonts w:hint="eastAsia"/>
          <w:color w:val="auto"/>
          <w:sz w:val="22"/>
          <w:u w:val="none"/>
        </w:rPr>
        <w:t>乙方应在本合同生效后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   10   </w:t>
      </w:r>
      <w:r>
        <w:rPr>
          <w:rFonts w:hint="eastAsia"/>
          <w:color w:val="auto"/>
          <w:sz w:val="22"/>
          <w:u w:val="none"/>
        </w:rPr>
        <w:t>日内支付</w:t>
      </w:r>
      <w:r>
        <w:rPr>
          <w:rFonts w:hint="eastAsia"/>
          <w:color w:val="auto"/>
          <w:sz w:val="22"/>
          <w:u w:val="none"/>
          <w:lang w:val="en-US" w:eastAsia="zh-CN"/>
        </w:rPr>
        <w:t>第一期租金</w:t>
      </w:r>
      <w:r>
        <w:rPr>
          <w:rFonts w:hint="eastAsia"/>
          <w:color w:val="auto"/>
          <w:sz w:val="22"/>
          <w:u w:val="none"/>
        </w:rPr>
        <w:t>。后续各期租金应于该期开始前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      </w:t>
      </w:r>
      <w:r>
        <w:rPr>
          <w:rFonts w:hint="eastAsia"/>
          <w:color w:val="auto"/>
          <w:sz w:val="22"/>
          <w:u w:val="none"/>
        </w:rPr>
        <w:t>日支付至甲方指定账户：</w:t>
      </w:r>
    </w:p>
    <w:p w14:paraId="04494F7B">
      <w:pPr>
        <w:pStyle w:val="7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557" w:leftChars="0" w:right="105" w:rightChars="0"/>
        <w:jc w:val="left"/>
        <w:rPr>
          <w:rFonts w:hint="default" w:eastAsia="方正书宋_GBK"/>
          <w:color w:val="auto"/>
          <w:sz w:val="22"/>
          <w:u w:val="single" w:color="auto"/>
          <w:lang w:val="en-US" w:eastAsia="zh-CN"/>
        </w:rPr>
      </w:pPr>
      <w:r>
        <w:rPr>
          <w:rFonts w:hint="eastAsia"/>
          <w:color w:val="auto"/>
          <w:sz w:val="22"/>
          <w:u w:val="none"/>
        </w:rPr>
        <w:t>开户名：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文昌市龙楼镇吉水村吉水七二组股份经济合作社      </w:t>
      </w:r>
    </w:p>
    <w:p w14:paraId="60FE54C3">
      <w:pPr>
        <w:pStyle w:val="7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557" w:leftChars="0" w:right="105" w:rightChars="0"/>
        <w:jc w:val="left"/>
        <w:rPr>
          <w:rFonts w:hint="default" w:eastAsia="方正书宋_GBK"/>
          <w:b/>
          <w:bCs/>
          <w:color w:val="auto"/>
          <w:sz w:val="22"/>
          <w:u w:val="single" w:color="auto"/>
          <w:lang w:val="en-US" w:eastAsia="zh-CN"/>
        </w:rPr>
      </w:pPr>
      <w:r>
        <w:rPr>
          <w:rFonts w:hint="eastAsia"/>
          <w:color w:val="auto"/>
          <w:sz w:val="22"/>
          <w:u w:val="none"/>
        </w:rPr>
        <w:t>开户行：</w:t>
      </w:r>
      <w:r>
        <w:rPr>
          <w:rFonts w:hint="eastAsia"/>
          <w:color w:val="auto"/>
          <w:sz w:val="22"/>
          <w:u w:val="single" w:color="auto"/>
        </w:rPr>
        <w:t xml:space="preserve">中国邮政储蓄银行股份有限公司文昌市龙楼镇支行 </w:t>
      </w:r>
      <w:r>
        <w:rPr>
          <w:rFonts w:hint="eastAsia"/>
          <w:color w:val="auto"/>
          <w:sz w:val="22"/>
          <w:u w:val="single" w:color="auto"/>
          <w:lang w:val="en-US" w:eastAsia="zh-CN"/>
        </w:rPr>
        <w:t xml:space="preserve"> </w:t>
      </w:r>
    </w:p>
    <w:p w14:paraId="662B6176">
      <w:pPr>
        <w:pStyle w:val="7"/>
        <w:numPr>
          <w:ilvl w:val="0"/>
          <w:numId w:val="0"/>
        </w:numPr>
        <w:tabs>
          <w:tab w:val="left" w:pos="777"/>
          <w:tab w:val="left" w:pos="1663"/>
          <w:tab w:val="left" w:pos="1883"/>
          <w:tab w:val="left" w:pos="3427"/>
          <w:tab w:val="left" w:pos="3656"/>
          <w:tab w:val="left" w:pos="5414"/>
          <w:tab w:val="left" w:pos="7195"/>
          <w:tab w:val="left" w:pos="8895"/>
        </w:tabs>
        <w:spacing w:before="108" w:after="0" w:line="319" w:lineRule="auto"/>
        <w:ind w:left="557" w:leftChars="0" w:right="105" w:rightChars="0"/>
        <w:jc w:val="left"/>
        <w:rPr>
          <w:color w:val="auto"/>
          <w:sz w:val="22"/>
          <w:u w:val="none"/>
        </w:rPr>
      </w:pPr>
      <w:r>
        <w:rPr>
          <w:rFonts w:hint="eastAsia"/>
          <w:color w:val="auto"/>
          <w:sz w:val="22"/>
          <w:u w:val="none"/>
        </w:rPr>
        <w:t>账号：</w:t>
      </w:r>
      <w:r>
        <w:rPr>
          <w:rFonts w:hint="eastAsia"/>
          <w:color w:val="auto"/>
          <w:sz w:val="22"/>
          <w:u w:val="single" w:color="auto"/>
        </w:rPr>
        <w:t xml:space="preserve">946902013000351284   </w:t>
      </w:r>
      <w:r>
        <w:rPr>
          <w:color w:val="auto"/>
          <w:sz w:val="22"/>
          <w:u w:val="none"/>
        </w:rPr>
        <w:t>。</w:t>
      </w:r>
    </w:p>
    <w:p w14:paraId="0EF3AEB4">
      <w:pPr>
        <w:pStyle w:val="7"/>
        <w:numPr>
          <w:ilvl w:val="0"/>
          <w:numId w:val="0"/>
        </w:numPr>
        <w:tabs>
          <w:tab w:val="left" w:pos="776"/>
          <w:tab w:val="left" w:pos="9078"/>
        </w:tabs>
        <w:spacing w:before="109" w:after="0" w:line="240" w:lineRule="auto"/>
        <w:ind w:left="775" w:leftChars="0" w:right="0" w:rightChars="0" w:hanging="218" w:firstLineChars="0"/>
        <w:jc w:val="left"/>
        <w:rPr>
          <w:color w:val="auto"/>
          <w:sz w:val="22"/>
          <w:u w:val="none"/>
        </w:rPr>
      </w:pPr>
      <w:r>
        <w:rPr>
          <w:rFonts w:hint="eastAsia" w:cs="方正书宋_GBK"/>
          <w:color w:val="auto"/>
          <w:w w:val="100"/>
          <w:sz w:val="22"/>
          <w:szCs w:val="22"/>
          <w:u w:color="000000"/>
          <w:lang w:val="en-US" w:eastAsia="zh-CN" w:bidi="ar-SA"/>
        </w:rPr>
        <w:t>3</w:t>
      </w:r>
      <w:r>
        <w:rPr>
          <w:rFonts w:hint="default" w:ascii="方正书宋_GBK" w:hAnsi="方正书宋_GBK" w:eastAsia="方正书宋_GBK" w:cs="方正书宋_GBK"/>
          <w:color w:val="auto"/>
          <w:w w:val="100"/>
          <w:sz w:val="22"/>
          <w:szCs w:val="22"/>
          <w:u w:color="000000"/>
          <w:lang w:val="en-US" w:eastAsia="en-US" w:bidi="ar-SA"/>
        </w:rPr>
        <w:t>.</w:t>
      </w:r>
      <w:r>
        <w:rPr>
          <w:color w:val="auto"/>
          <w:sz w:val="22"/>
          <w:u w:val="none"/>
        </w:rPr>
        <w:t>其他方式</w:t>
      </w:r>
      <w:r>
        <w:rPr>
          <w:color w:val="auto"/>
          <w:sz w:val="22"/>
          <w:u w:val="single" w:color="231F20"/>
        </w:rPr>
        <w:t>：</w:t>
      </w:r>
      <w:r>
        <w:rPr>
          <w:color w:val="auto"/>
          <w:sz w:val="22"/>
          <w:u w:val="single" w:color="231F20"/>
        </w:rPr>
        <w:tab/>
      </w:r>
      <w:r>
        <w:rPr>
          <w:color w:val="auto"/>
          <w:sz w:val="22"/>
          <w:u w:val="none"/>
        </w:rPr>
        <w:t>。</w:t>
      </w:r>
    </w:p>
    <w:p w14:paraId="76B97DC4">
      <w:pPr>
        <w:pStyle w:val="3"/>
        <w:tabs>
          <w:tab w:val="left" w:pos="9188"/>
        </w:tabs>
        <w:spacing w:before="109"/>
        <w:ind w:left="447"/>
        <w:rPr>
          <w:rFonts w:ascii="Times New Roman" w:hAnsi="Times New Roman" w:eastAsia="Times New Roman"/>
        </w:rPr>
      </w:pPr>
      <w:r>
        <w:rPr>
          <w:color w:val="231F20"/>
        </w:rPr>
        <w:t>（二）公益林或天然林流转的，森林生态效益补偿资金由□甲方□乙方受偿</w:t>
      </w:r>
      <w:r>
        <w:rPr>
          <w:color w:val="231F20"/>
          <w:spacing w:val="-56"/>
        </w:rPr>
        <w:t>，</w:t>
      </w:r>
      <w:r>
        <w:rPr>
          <w:color w:val="231F20"/>
        </w:rPr>
        <w:t>或者</w:t>
      </w:r>
      <w:r>
        <w:rPr>
          <w:rFonts w:ascii="Times New Roman" w:hAns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hAnsi="Times New Roman" w:eastAsia="Times New Roman"/>
          <w:color w:val="231F20"/>
          <w:u w:val="single" w:color="231F20"/>
        </w:rPr>
        <w:tab/>
      </w:r>
    </w:p>
    <w:p w14:paraId="17C1D6A8">
      <w:pPr>
        <w:pStyle w:val="3"/>
        <w:tabs>
          <w:tab w:val="left" w:pos="3717"/>
        </w:tabs>
        <w:spacing w:before="109"/>
        <w:ind w:left="117"/>
      </w:pP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</w:rPr>
        <w:t>。</w:t>
      </w:r>
    </w:p>
    <w:p w14:paraId="3B0DFE4F">
      <w:pPr>
        <w:pStyle w:val="3"/>
        <w:tabs>
          <w:tab w:val="left" w:pos="3208"/>
          <w:tab w:val="left" w:pos="8963"/>
        </w:tabs>
        <w:spacing w:before="109" w:line="319" w:lineRule="auto"/>
        <w:ind w:left="117" w:right="214" w:firstLine="330"/>
      </w:pPr>
      <w:r>
        <w:rPr>
          <w:color w:val="231F20"/>
          <w:spacing w:val="2"/>
        </w:rPr>
        <w:t>（三）双方本着自愿公平原则约定定金事</w:t>
      </w:r>
      <w:r>
        <w:rPr>
          <w:color w:val="231F20"/>
        </w:rPr>
        <w:t>宜</w:t>
      </w:r>
      <w:r>
        <w:rPr>
          <w:color w:val="231F20"/>
          <w:spacing w:val="2"/>
        </w:rPr>
        <w:t>。如需支付定</w:t>
      </w:r>
      <w:r>
        <w:rPr>
          <w:color w:val="231F20"/>
        </w:rPr>
        <w:t>金</w:t>
      </w:r>
      <w:r>
        <w:rPr>
          <w:color w:val="231F20"/>
          <w:spacing w:val="2"/>
        </w:rPr>
        <w:t>，应在本合同生效</w:t>
      </w:r>
      <w:r>
        <w:rPr>
          <w:color w:val="231F20"/>
        </w:rPr>
        <w:t>后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日内，乙方向甲方支付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元作为合同定金。采取一次性付款的，定金在合同期满后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</w:rPr>
        <w:t>日内一次性返还。分期付款的，定金在最后一期的</w:t>
      </w:r>
      <w:r>
        <w:rPr>
          <w:rFonts w:hint="eastAsia"/>
          <w:color w:val="231F20"/>
          <w:lang w:val="en-US" w:eastAsia="zh-CN"/>
        </w:rPr>
        <w:t>租金</w:t>
      </w:r>
      <w:r>
        <w:rPr>
          <w:color w:val="231F20"/>
        </w:rPr>
        <w:t>中抵扣。</w:t>
      </w:r>
    </w:p>
    <w:p w14:paraId="473C83CE">
      <w:pPr>
        <w:pStyle w:val="3"/>
        <w:tabs>
          <w:tab w:val="left" w:pos="1437"/>
        </w:tabs>
        <w:spacing w:before="103"/>
        <w:ind w:left="557"/>
      </w:pPr>
      <w:r>
        <w:rPr>
          <w:rFonts w:hint="eastAsia" w:ascii="方正黑体_GBK" w:eastAsia="方正黑体_GBK"/>
          <w:color w:val="231F20"/>
        </w:rPr>
        <w:t>第四条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甲方的权利和义务</w:t>
      </w:r>
    </w:p>
    <w:p w14:paraId="255DA16D">
      <w:pPr>
        <w:pStyle w:val="3"/>
        <w:spacing w:before="109" w:line="319" w:lineRule="auto"/>
        <w:ind w:left="117" w:right="214" w:firstLine="330"/>
      </w:pPr>
      <w:r>
        <w:rPr>
          <w:color w:val="231F20"/>
        </w:rPr>
        <w:t>（一）有权依法获得</w:t>
      </w:r>
      <w:r>
        <w:rPr>
          <w:rFonts w:hint="eastAsia"/>
          <w:color w:val="231F20"/>
          <w:lang w:val="en-US" w:eastAsia="zh-CN"/>
        </w:rPr>
        <w:t>租金</w:t>
      </w:r>
      <w:r>
        <w:rPr>
          <w:color w:val="231F20"/>
        </w:rPr>
        <w:t>收益。有权要求乙方依照合同约定的用途合理利用和保护林地。</w:t>
      </w:r>
    </w:p>
    <w:p w14:paraId="77BC2231">
      <w:pPr>
        <w:pStyle w:val="3"/>
        <w:spacing w:before="26"/>
        <w:ind w:left="447"/>
      </w:pPr>
      <w:r>
        <w:rPr>
          <w:color w:val="231F20"/>
        </w:rPr>
        <w:t>（二）</w:t>
      </w:r>
      <w:r>
        <w:rPr>
          <w:rFonts w:hint="eastAsia"/>
          <w:color w:val="auto"/>
        </w:rPr>
        <w:t>出租期限届满后，有权收回林地经营权</w:t>
      </w:r>
      <w:r>
        <w:rPr>
          <w:color w:val="231F20"/>
        </w:rPr>
        <w:t>。</w:t>
      </w:r>
    </w:p>
    <w:p w14:paraId="141D9B06">
      <w:pPr>
        <w:pStyle w:val="3"/>
        <w:spacing w:before="109" w:line="319" w:lineRule="auto"/>
        <w:ind w:left="117" w:right="214" w:firstLine="330"/>
      </w:pPr>
      <w:r>
        <w:rPr>
          <w:color w:val="231F20"/>
        </w:rPr>
        <w:t>（三）</w:t>
      </w:r>
      <w:r>
        <w:rPr>
          <w:rFonts w:hint="eastAsia"/>
          <w:color w:val="auto"/>
        </w:rPr>
        <w:t>保证出租林地权属清晰、合法，无任何纠纷。如存在权属或经济纠纷，由甲方负责处理并承担相应责任。</w:t>
      </w:r>
    </w:p>
    <w:p w14:paraId="744438EB">
      <w:pPr>
        <w:pStyle w:val="3"/>
        <w:spacing w:before="25" w:line="319" w:lineRule="auto"/>
        <w:ind w:left="117" w:right="214" w:firstLine="330"/>
      </w:pPr>
      <w:r>
        <w:rPr>
          <w:color w:val="231F20"/>
        </w:rPr>
        <w:t>（四）</w:t>
      </w:r>
      <w:r>
        <w:rPr>
          <w:color w:val="auto"/>
        </w:rPr>
        <w:t>提供所林地范围的全国统一式样的林权证或不动产权证书</w:t>
      </w:r>
      <w:r>
        <w:rPr>
          <w:rFonts w:hint="eastAsia"/>
          <w:color w:val="auto"/>
        </w:rPr>
        <w:t>（或合法权属说明）</w:t>
      </w:r>
      <w:r>
        <w:rPr>
          <w:color w:val="auto"/>
        </w:rPr>
        <w:t>，并配合乙方依法办理不动产登记相关手续。</w:t>
      </w:r>
    </w:p>
    <w:p w14:paraId="5A834026">
      <w:pPr>
        <w:pStyle w:val="3"/>
        <w:spacing w:before="25" w:line="319" w:lineRule="auto"/>
        <w:ind w:left="117" w:right="214" w:firstLine="330"/>
      </w:pPr>
      <w:r>
        <w:rPr>
          <w:color w:val="231F20"/>
        </w:rPr>
        <w:t>（五）不干涉和破坏乙方的正常生产经营活动。协助乙方做好护林防火和林区治安管理工作。</w:t>
      </w:r>
    </w:p>
    <w:p w14:paraId="16862D22">
      <w:pPr>
        <w:pStyle w:val="3"/>
        <w:tabs>
          <w:tab w:val="left" w:pos="1437"/>
        </w:tabs>
        <w:spacing w:before="19"/>
        <w:ind w:left="557"/>
      </w:pPr>
      <w:r>
        <w:rPr>
          <w:rFonts w:hint="eastAsia" w:ascii="方正黑体_GBK" w:eastAsia="方正黑体_GBK"/>
          <w:color w:val="231F20"/>
        </w:rPr>
        <w:t>第五条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乙方的权利和义务</w:t>
      </w:r>
    </w:p>
    <w:p w14:paraId="359BBECB">
      <w:pPr>
        <w:pStyle w:val="3"/>
        <w:spacing w:before="109"/>
        <w:ind w:left="447"/>
      </w:pPr>
      <w:r>
        <w:rPr>
          <w:color w:val="231F20"/>
        </w:rPr>
        <w:t>（一）依法享有</w:t>
      </w:r>
      <w:r>
        <w:rPr>
          <w:rFonts w:hint="eastAsia"/>
          <w:color w:val="231F20"/>
          <w:lang w:val="en-US" w:eastAsia="zh-CN"/>
        </w:rPr>
        <w:t>承租</w:t>
      </w:r>
      <w:r>
        <w:rPr>
          <w:color w:val="231F20"/>
        </w:rPr>
        <w:t>林地使用、收益的权利，有权自主组织生产经营和处置产品。</w:t>
      </w:r>
    </w:p>
    <w:p w14:paraId="25BE83BE">
      <w:pPr>
        <w:pStyle w:val="3"/>
        <w:spacing w:before="109" w:line="319" w:lineRule="auto"/>
        <w:ind w:left="117" w:right="214" w:firstLine="330"/>
        <w:rPr>
          <w:color w:val="auto"/>
        </w:rPr>
      </w:pPr>
      <w:r>
        <w:rPr>
          <w:color w:val="231F20"/>
        </w:rPr>
        <w:t>（二）按合同约定及时支付</w:t>
      </w:r>
      <w:r>
        <w:rPr>
          <w:rFonts w:hint="eastAsia"/>
          <w:color w:val="231F20"/>
          <w:lang w:val="en-US" w:eastAsia="zh-CN"/>
        </w:rPr>
        <w:t>足额租金</w:t>
      </w:r>
      <w:r>
        <w:rPr>
          <w:color w:val="231F20"/>
        </w:rPr>
        <w:t>。</w:t>
      </w:r>
      <w:r>
        <w:rPr>
          <w:color w:val="auto"/>
        </w:rPr>
        <w:t>如该林地被依法征占用的，有权依法按规定或约定获得相应的补偿。</w:t>
      </w:r>
    </w:p>
    <w:p w14:paraId="3CAE4717">
      <w:pPr>
        <w:pStyle w:val="3"/>
        <w:spacing w:before="109" w:line="319" w:lineRule="auto"/>
        <w:ind w:left="117" w:right="214" w:firstLine="330"/>
      </w:pPr>
      <w:r>
        <w:rPr>
          <w:color w:val="231F20"/>
        </w:rPr>
        <w:t>（三）有权要求甲方协助办理不动产登记相关手续。</w:t>
      </w:r>
    </w:p>
    <w:p w14:paraId="022640FD">
      <w:pPr>
        <w:pStyle w:val="3"/>
        <w:spacing w:before="109" w:line="319" w:lineRule="auto"/>
        <w:ind w:left="117" w:firstLine="330"/>
      </w:pPr>
      <w:r>
        <w:rPr>
          <w:color w:val="231F20"/>
        </w:rPr>
        <w:t>（四）</w:t>
      </w:r>
      <w:r>
        <w:rPr>
          <w:color w:val="0000FF"/>
        </w:rPr>
        <w:t>应当做好造林培育，其采伐迹地应在当年或者次年内完成造林更新，不得闲置丢荒， 并保护好生态环境和水资源。</w:t>
      </w:r>
    </w:p>
    <w:p w14:paraId="3541C967">
      <w:pPr>
        <w:pStyle w:val="3"/>
        <w:spacing w:before="26"/>
        <w:ind w:left="447"/>
      </w:pPr>
      <w:r>
        <w:rPr>
          <w:color w:val="231F20"/>
        </w:rPr>
        <w:t>（五）依法承担护林防火、林业有害生物防治责任，保护野生动植物资源工作。</w:t>
      </w:r>
    </w:p>
    <w:p w14:paraId="4C34F806">
      <w:pPr>
        <w:pStyle w:val="3"/>
        <w:spacing w:before="109" w:line="319" w:lineRule="auto"/>
        <w:ind w:left="117" w:firstLine="330"/>
      </w:pPr>
      <w:r>
        <w:rPr>
          <w:color w:val="231F20"/>
        </w:rPr>
        <w:t>（六）应当严格按照国家和本地林业管理规定开发利用，不得擅自改变林地用途和公益林、天然林性质，不得破坏林业综合生产能力。</w:t>
      </w:r>
    </w:p>
    <w:p w14:paraId="09E39083">
      <w:pPr>
        <w:pStyle w:val="3"/>
        <w:tabs>
          <w:tab w:val="left" w:pos="1437"/>
        </w:tabs>
        <w:spacing w:before="19"/>
        <w:ind w:left="557"/>
      </w:pPr>
      <w:r>
        <w:rPr>
          <w:rFonts w:hint="eastAsia" w:ascii="方正黑体_GBK" w:eastAsia="方正黑体_GBK"/>
          <w:color w:val="231F20"/>
        </w:rPr>
        <w:t>第六条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其他约定</w:t>
      </w:r>
    </w:p>
    <w:p w14:paraId="12F1612C">
      <w:pPr>
        <w:pStyle w:val="3"/>
        <w:spacing w:before="108"/>
        <w:ind w:left="447"/>
        <w:rPr>
          <w:color w:val="auto"/>
        </w:rPr>
      </w:pPr>
      <w:r>
        <w:rPr>
          <w:color w:val="auto"/>
        </w:rPr>
        <w:t>（一）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方□同意□不同意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方依法投资改良土壤，建设林业生产附属、配套设施。</w:t>
      </w:r>
    </w:p>
    <w:p w14:paraId="7AFBF6A3">
      <w:pPr>
        <w:pStyle w:val="3"/>
        <w:spacing w:before="108"/>
        <w:ind w:left="447"/>
        <w:rPr>
          <w:color w:val="auto"/>
        </w:rPr>
      </w:pPr>
      <w:r>
        <w:rPr>
          <w:color w:val="auto"/>
        </w:rPr>
        <w:t>（二）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方</w:t>
      </w:r>
      <w:r>
        <w:rPr>
          <w:rFonts w:hint="eastAsia"/>
          <w:color w:val="auto"/>
          <w:lang w:eastAsia="zh-CN"/>
        </w:rPr>
        <w:t>□</w:t>
      </w:r>
      <w:r>
        <w:rPr>
          <w:color w:val="auto"/>
        </w:rPr>
        <w:t>同意□不同意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方再次流转林</w:t>
      </w:r>
      <w:r>
        <w:rPr>
          <w:rFonts w:hint="eastAsia"/>
          <w:color w:val="auto"/>
          <w:lang w:val="en-US" w:eastAsia="zh-CN"/>
        </w:rPr>
        <w:t>地经营权（需取得出租方同意）</w:t>
      </w:r>
      <w:r>
        <w:rPr>
          <w:color w:val="auto"/>
        </w:rPr>
        <w:t>。</w:t>
      </w:r>
    </w:p>
    <w:p w14:paraId="65084CCB">
      <w:pPr>
        <w:pStyle w:val="3"/>
        <w:spacing w:before="108"/>
        <w:ind w:left="447"/>
        <w:rPr>
          <w:color w:val="auto"/>
        </w:rPr>
      </w:pPr>
      <w:r>
        <w:rPr>
          <w:color w:val="auto"/>
        </w:rPr>
        <w:t>（三）</w:t>
      </w:r>
      <w:r>
        <w:rPr>
          <w:rFonts w:hint="eastAsia"/>
          <w:color w:val="auto"/>
          <w:lang w:val="en-US" w:eastAsia="zh-CN"/>
        </w:rPr>
        <w:t>出租</w:t>
      </w:r>
      <w:r>
        <w:rPr>
          <w:color w:val="auto"/>
        </w:rPr>
        <w:t>方□同意□不同意</w:t>
      </w:r>
      <w:r>
        <w:rPr>
          <w:rFonts w:hint="eastAsia"/>
          <w:color w:val="auto"/>
          <w:lang w:val="en-US" w:eastAsia="zh-CN"/>
        </w:rPr>
        <w:t>承租</w:t>
      </w:r>
      <w:r>
        <w:rPr>
          <w:color w:val="auto"/>
        </w:rPr>
        <w:t>方将</w:t>
      </w:r>
      <w:r>
        <w:rPr>
          <w:rFonts w:hint="eastAsia"/>
          <w:color w:val="auto"/>
          <w:lang w:val="en-US" w:eastAsia="zh-CN"/>
        </w:rPr>
        <w:t>该</w:t>
      </w:r>
      <w:r>
        <w:rPr>
          <w:color w:val="auto"/>
        </w:rPr>
        <w:t>林</w:t>
      </w:r>
      <w:r>
        <w:rPr>
          <w:rFonts w:hint="eastAsia"/>
          <w:color w:val="auto"/>
          <w:lang w:val="en-US" w:eastAsia="zh-CN"/>
        </w:rPr>
        <w:t>地经营权</w:t>
      </w:r>
      <w:r>
        <w:rPr>
          <w:color w:val="auto"/>
        </w:rPr>
        <w:t>向金融机构进行融资担保。</w:t>
      </w:r>
    </w:p>
    <w:p w14:paraId="1AEDC08B">
      <w:pPr>
        <w:pStyle w:val="3"/>
        <w:spacing w:before="24" w:line="319" w:lineRule="auto"/>
        <w:ind w:left="117" w:right="211" w:firstLine="330"/>
        <w:jc w:val="both"/>
      </w:pPr>
      <w:r>
        <w:rPr>
          <w:color w:val="231F20"/>
        </w:rPr>
        <w:t>（四）本合同期限内，因被依法征收、征用、占用时，</w:t>
      </w:r>
      <w:r>
        <w:rPr>
          <w:rFonts w:hint="eastAsia"/>
          <w:color w:val="231F20"/>
          <w:lang w:val="en-US" w:eastAsia="zh-CN"/>
        </w:rPr>
        <w:t>该</w:t>
      </w:r>
      <w:r>
        <w:rPr>
          <w:color w:val="231F20"/>
        </w:rPr>
        <w:t>林地、林木及地上附着物有关补偿费的归属约定：</w:t>
      </w:r>
    </w:p>
    <w:p w14:paraId="18FE5B76">
      <w:pPr>
        <w:pStyle w:val="3"/>
        <w:tabs>
          <w:tab w:val="left" w:pos="9078"/>
        </w:tabs>
        <w:spacing w:before="26"/>
        <w:ind w:left="557"/>
      </w:pP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</w:rPr>
        <w:t>。</w:t>
      </w:r>
    </w:p>
    <w:p w14:paraId="2343153E">
      <w:pPr>
        <w:pStyle w:val="3"/>
        <w:spacing w:before="109"/>
        <w:ind w:left="447"/>
      </w:pPr>
      <w:r>
        <w:rPr>
          <w:color w:val="231F20"/>
        </w:rPr>
        <w:t>（五）其他约定事项（可另附件）：</w:t>
      </w:r>
    </w:p>
    <w:p w14:paraId="47CA3CBD">
      <w:pPr>
        <w:pStyle w:val="3"/>
        <w:tabs>
          <w:tab w:val="left" w:pos="9078"/>
        </w:tabs>
        <w:spacing w:before="109"/>
        <w:ind w:left="557"/>
      </w:pP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</w:rPr>
        <w:t>。</w:t>
      </w:r>
    </w:p>
    <w:p w14:paraId="03BBBB31">
      <w:pPr>
        <w:pStyle w:val="3"/>
        <w:tabs>
          <w:tab w:val="left" w:pos="1437"/>
        </w:tabs>
        <w:spacing w:before="103"/>
        <w:ind w:left="557"/>
      </w:pPr>
      <w:r>
        <w:rPr>
          <w:rFonts w:hint="eastAsia" w:ascii="方正黑体_GBK" w:eastAsia="方正黑体_GBK"/>
          <w:color w:val="231F20"/>
        </w:rPr>
        <w:t>第七条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合同的变更、解除和终止</w:t>
      </w:r>
    </w:p>
    <w:p w14:paraId="2D6542D6">
      <w:pPr>
        <w:pStyle w:val="3"/>
        <w:spacing w:before="109" w:line="319" w:lineRule="auto"/>
        <w:ind w:left="117" w:right="209" w:firstLine="330"/>
        <w:jc w:val="both"/>
      </w:pPr>
      <w:r>
        <w:rPr>
          <w:color w:val="231F20"/>
        </w:rPr>
        <w:t>（一）</w:t>
      </w:r>
      <w:bookmarkStart w:id="0" w:name="_GoBack"/>
      <w:r>
        <w:rPr>
          <w:color w:val="0000FF"/>
        </w:rPr>
        <w:t>合同有效期间，因不可抗力因素致使合同全部不能履行时，本合同自动终止，甲方将合同终止日至</w:t>
      </w:r>
      <w:r>
        <w:rPr>
          <w:rFonts w:hint="eastAsia"/>
          <w:color w:val="0000FF"/>
          <w:lang w:val="en-US" w:eastAsia="zh-CN"/>
        </w:rPr>
        <w:t>租赁</w:t>
      </w:r>
      <w:r>
        <w:rPr>
          <w:color w:val="0000FF"/>
        </w:rPr>
        <w:t>到期日的期限内已收取的</w:t>
      </w:r>
      <w:r>
        <w:rPr>
          <w:rFonts w:hint="eastAsia"/>
          <w:color w:val="0000FF"/>
          <w:lang w:val="en-US" w:eastAsia="zh-CN"/>
        </w:rPr>
        <w:t>租金</w:t>
      </w:r>
      <w:r>
        <w:rPr>
          <w:color w:val="0000FF"/>
        </w:rPr>
        <w:t>款退还给乙方；致使合同部分不能履行的，其他部分继续履行，</w:t>
      </w:r>
      <w:r>
        <w:rPr>
          <w:rFonts w:hint="eastAsia"/>
          <w:color w:val="0000FF"/>
          <w:lang w:val="en-US" w:eastAsia="zh-CN"/>
        </w:rPr>
        <w:t>租金</w:t>
      </w:r>
      <w:r>
        <w:rPr>
          <w:color w:val="0000FF"/>
        </w:rPr>
        <w:t>作相应调整。</w:t>
      </w:r>
      <w:bookmarkEnd w:id="0"/>
    </w:p>
    <w:p w14:paraId="2E31E875">
      <w:pPr>
        <w:pStyle w:val="3"/>
        <w:spacing w:before="26" w:line="319" w:lineRule="auto"/>
        <w:ind w:left="117" w:right="213" w:firstLine="330"/>
        <w:jc w:val="both"/>
      </w:pPr>
      <w:r>
        <w:rPr>
          <w:color w:val="231F20"/>
        </w:rPr>
        <w:t>（二）合同期满后，如乙方继续</w:t>
      </w:r>
      <w:r>
        <w:rPr>
          <w:rFonts w:hint="eastAsia"/>
          <w:color w:val="231F20"/>
          <w:lang w:val="en-US" w:eastAsia="zh-CN"/>
        </w:rPr>
        <w:t>承租的</w:t>
      </w:r>
      <w:r>
        <w:rPr>
          <w:color w:val="231F20"/>
        </w:rPr>
        <w:t>，必须在合同期满前 90 日内书面向甲方提出申请</w:t>
      </w:r>
      <w:r>
        <w:rPr>
          <w:rFonts w:hint="eastAsia"/>
          <w:color w:val="231F20"/>
        </w:rPr>
        <w:t>同</w:t>
      </w:r>
      <w:r>
        <w:rPr>
          <w:rFonts w:hint="eastAsia"/>
          <w:color w:val="0000FF"/>
        </w:rPr>
        <w:t>等条件下，乙方享有优先承租权</w:t>
      </w:r>
      <w:r>
        <w:rPr>
          <w:color w:val="231F20"/>
        </w:rPr>
        <w:t>。如乙方不再继续</w:t>
      </w:r>
      <w:r>
        <w:rPr>
          <w:rFonts w:hint="eastAsia"/>
          <w:color w:val="231F20"/>
          <w:lang w:val="en-US" w:eastAsia="zh-CN"/>
        </w:rPr>
        <w:t>承租</w:t>
      </w:r>
      <w:r>
        <w:rPr>
          <w:color w:val="231F20"/>
        </w:rPr>
        <w:t>，在合同期满后日内将林地交还给甲方。</w:t>
      </w:r>
    </w:p>
    <w:p w14:paraId="260A4B04">
      <w:pPr>
        <w:pStyle w:val="3"/>
        <w:spacing w:before="26"/>
        <w:ind w:left="447"/>
      </w:pPr>
      <w:r>
        <w:rPr>
          <w:color w:val="231F20"/>
        </w:rPr>
        <w:t>（三）合同期满后，林地</w:t>
      </w:r>
      <w:r>
        <w:rPr>
          <w:rFonts w:hint="eastAsia"/>
          <w:color w:val="231F20"/>
          <w:lang w:val="en-US" w:eastAsia="zh-CN"/>
        </w:rPr>
        <w:t>上</w:t>
      </w:r>
      <w:r>
        <w:rPr>
          <w:color w:val="231F20"/>
        </w:rPr>
        <w:t>留置林木的处置方式：</w:t>
      </w:r>
    </w:p>
    <w:p w14:paraId="6D49954C">
      <w:pPr>
        <w:pStyle w:val="3"/>
        <w:tabs>
          <w:tab w:val="left" w:pos="5617"/>
          <w:tab w:val="left" w:pos="8917"/>
        </w:tabs>
        <w:spacing w:before="109"/>
        <w:ind w:left="557"/>
        <w:rPr>
          <w:color w:val="auto"/>
        </w:rPr>
      </w:pPr>
      <w:r>
        <w:rPr>
          <w:color w:val="auto"/>
        </w:rPr>
        <w:t>□与有权收回该</w:t>
      </w:r>
      <w:r>
        <w:rPr>
          <w:rFonts w:hint="eastAsia"/>
          <w:color w:val="auto"/>
          <w:lang w:val="en-US" w:eastAsia="zh-CN"/>
        </w:rPr>
        <w:t>林地经营权</w:t>
      </w:r>
      <w:r>
        <w:rPr>
          <w:color w:val="auto"/>
        </w:rPr>
        <w:t>的权利人协商展期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年，支付价款或实物</w:t>
      </w:r>
      <w:r>
        <w:rPr>
          <w:color w:val="auto"/>
          <w:u w:val="single" w:color="231F20"/>
        </w:rPr>
        <w:t xml:space="preserve"> </w:t>
      </w:r>
      <w:r>
        <w:rPr>
          <w:color w:val="auto"/>
          <w:u w:val="single" w:color="231F20"/>
        </w:rPr>
        <w:tab/>
      </w:r>
      <w:r>
        <w:rPr>
          <w:color w:val="auto"/>
        </w:rPr>
        <w:t>。</w:t>
      </w:r>
    </w:p>
    <w:p w14:paraId="4F0BEA4E">
      <w:pPr>
        <w:pStyle w:val="3"/>
        <w:spacing w:before="109"/>
        <w:ind w:left="557"/>
        <w:rPr>
          <w:color w:val="auto"/>
        </w:rPr>
      </w:pPr>
      <w:r>
        <w:rPr>
          <w:color w:val="auto"/>
        </w:rPr>
        <w:t>□经有森林资源资产评估资质的第三方评估后，</w:t>
      </w:r>
      <w:r>
        <w:rPr>
          <w:rFonts w:hint="eastAsia"/>
          <w:color w:val="auto"/>
        </w:rPr>
        <w:t>由甲方或第三方按评估价购买</w:t>
      </w:r>
      <w:r>
        <w:rPr>
          <w:color w:val="auto"/>
        </w:rPr>
        <w:t>。</w:t>
      </w:r>
    </w:p>
    <w:p w14:paraId="7B48E489">
      <w:pPr>
        <w:pStyle w:val="3"/>
        <w:spacing w:before="109"/>
        <w:ind w:left="557"/>
        <w:rPr>
          <w:color w:val="auto"/>
        </w:rPr>
      </w:pPr>
      <w:r>
        <w:rPr>
          <w:rFonts w:hint="eastAsia"/>
          <w:color w:val="auto"/>
          <w:lang w:eastAsia="zh-CN"/>
        </w:rPr>
        <w:t>□</w:t>
      </w:r>
      <w:r>
        <w:rPr>
          <w:rFonts w:hint="eastAsia"/>
          <w:color w:val="auto"/>
        </w:rPr>
        <w:t>由甲方无偿收回</w:t>
      </w:r>
      <w:r>
        <w:rPr>
          <w:color w:val="auto"/>
        </w:rPr>
        <w:t>。</w:t>
      </w:r>
    </w:p>
    <w:p w14:paraId="35DBFC74">
      <w:pPr>
        <w:pStyle w:val="3"/>
        <w:tabs>
          <w:tab w:val="left" w:pos="9078"/>
        </w:tabs>
        <w:spacing w:before="109"/>
        <w:ind w:left="557"/>
      </w:pPr>
      <w:r>
        <w:rPr>
          <w:color w:val="231F20"/>
        </w:rPr>
        <w:t>□其他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。</w:t>
      </w:r>
    </w:p>
    <w:p w14:paraId="58A9392C">
      <w:pPr>
        <w:pStyle w:val="3"/>
        <w:spacing w:before="109"/>
        <w:ind w:left="447"/>
      </w:pPr>
      <w:r>
        <w:rPr>
          <w:color w:val="231F20"/>
        </w:rPr>
        <w:t>（四）合同期满后，</w:t>
      </w:r>
      <w:r>
        <w:rPr>
          <w:rFonts w:hint="eastAsia"/>
          <w:color w:val="231F20"/>
          <w:lang w:val="en-US" w:eastAsia="zh-CN"/>
        </w:rPr>
        <w:t>租赁</w:t>
      </w:r>
      <w:r>
        <w:rPr>
          <w:color w:val="231F20"/>
        </w:rPr>
        <w:t>期间</w:t>
      </w:r>
      <w:r>
        <w:rPr>
          <w:rFonts w:hint="eastAsia"/>
          <w:color w:val="231F20"/>
          <w:lang w:val="en-US" w:eastAsia="zh-CN"/>
        </w:rPr>
        <w:t>承租</w:t>
      </w:r>
      <w:r>
        <w:rPr>
          <w:color w:val="231F20"/>
        </w:rPr>
        <w:t>方投资建设的附属设施处置方式：</w:t>
      </w:r>
    </w:p>
    <w:p w14:paraId="08D0F68D">
      <w:pPr>
        <w:pStyle w:val="3"/>
        <w:spacing w:before="109"/>
        <w:ind w:left="557"/>
      </w:pPr>
      <w:r>
        <w:rPr>
          <w:color w:val="231F20"/>
        </w:rPr>
        <w:t>□由</w:t>
      </w:r>
      <w:r>
        <w:rPr>
          <w:rFonts w:hint="eastAsia"/>
          <w:color w:val="231F20"/>
          <w:lang w:val="en-US" w:eastAsia="zh-CN"/>
        </w:rPr>
        <w:t>甲方</w:t>
      </w:r>
      <w:r>
        <w:rPr>
          <w:color w:val="231F20"/>
        </w:rPr>
        <w:t>无偿处置。</w:t>
      </w:r>
    </w:p>
    <w:p w14:paraId="655AF3FF">
      <w:pPr>
        <w:pStyle w:val="3"/>
        <w:spacing w:before="109"/>
        <w:ind w:left="557"/>
      </w:pPr>
      <w:r>
        <w:rPr>
          <w:color w:val="231F20"/>
        </w:rPr>
        <w:t>□经有资质的第三方评估，由</w:t>
      </w:r>
      <w:r>
        <w:rPr>
          <w:rFonts w:hint="eastAsia"/>
          <w:color w:val="231F20"/>
          <w:lang w:val="en-US" w:eastAsia="zh-CN"/>
        </w:rPr>
        <w:t>甲方</w:t>
      </w:r>
      <w:r>
        <w:rPr>
          <w:color w:val="231F20"/>
        </w:rPr>
        <w:t>支付价款购买。</w:t>
      </w:r>
    </w:p>
    <w:p w14:paraId="01931C07">
      <w:pPr>
        <w:pStyle w:val="3"/>
        <w:tabs>
          <w:tab w:val="left" w:pos="9078"/>
        </w:tabs>
        <w:spacing w:before="109" w:line="319" w:lineRule="auto"/>
        <w:ind w:left="557" w:right="105"/>
      </w:pPr>
      <w:r>
        <w:rPr>
          <w:color w:val="231F20"/>
        </w:rPr>
        <w:t>□其他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。因合同的变更、解除或终止情形发生涉及产权变动的，当事人应当及时办理不动产登记相</w:t>
      </w:r>
    </w:p>
    <w:p w14:paraId="1868AC34">
      <w:pPr>
        <w:pStyle w:val="3"/>
        <w:spacing w:before="26"/>
        <w:ind w:left="117"/>
      </w:pPr>
      <w:r>
        <w:rPr>
          <w:color w:val="231F20"/>
        </w:rPr>
        <w:t>关手续。</w:t>
      </w:r>
    </w:p>
    <w:p w14:paraId="3828D804">
      <w:pPr>
        <w:pStyle w:val="3"/>
        <w:tabs>
          <w:tab w:val="left" w:pos="1437"/>
        </w:tabs>
        <w:spacing w:before="103"/>
        <w:ind w:left="557"/>
      </w:pPr>
      <w:r>
        <w:rPr>
          <w:rFonts w:hint="eastAsia" w:ascii="方正黑体_GBK" w:eastAsia="方正黑体_GBK"/>
          <w:color w:val="231F20"/>
        </w:rPr>
        <w:t>第八条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违约责任</w:t>
      </w:r>
    </w:p>
    <w:p w14:paraId="25D08082">
      <w:pPr>
        <w:pStyle w:val="3"/>
        <w:spacing w:before="109"/>
        <w:ind w:left="447"/>
      </w:pPr>
      <w:r>
        <w:rPr>
          <w:color w:val="231F20"/>
        </w:rPr>
        <w:t>（一）任何一方违约给对方造成损失的，违约方应承担赔偿责任。</w:t>
      </w:r>
    </w:p>
    <w:p w14:paraId="28C53D7F">
      <w:pPr>
        <w:pStyle w:val="3"/>
        <w:tabs>
          <w:tab w:val="left" w:pos="997"/>
          <w:tab w:val="left" w:pos="4297"/>
        </w:tabs>
        <w:spacing w:before="109" w:line="319" w:lineRule="auto"/>
        <w:ind w:left="117" w:right="208" w:firstLine="330"/>
        <w:jc w:val="both"/>
      </w:pPr>
      <w:r>
        <w:rPr>
          <w:color w:val="231F20"/>
          <w:spacing w:val="2"/>
        </w:rPr>
        <w:t>（二）甲方应按合同规定按时向乙方交付林</w:t>
      </w:r>
      <w:r>
        <w:rPr>
          <w:color w:val="231F20"/>
        </w:rPr>
        <w:t>地</w:t>
      </w:r>
      <w:r>
        <w:rPr>
          <w:color w:val="231F20"/>
          <w:spacing w:val="2"/>
        </w:rPr>
        <w:t>，逾期一日应向乙方支付应缴纳</w:t>
      </w:r>
      <w:r>
        <w:rPr>
          <w:rFonts w:hint="eastAsia"/>
          <w:color w:val="231F20"/>
          <w:spacing w:val="2"/>
          <w:lang w:val="en-US" w:eastAsia="zh-CN"/>
        </w:rPr>
        <w:t>租金</w:t>
      </w:r>
      <w:r>
        <w:rPr>
          <w:color w:val="231F20"/>
        </w:rPr>
        <w:t>的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‰作为违约金。逾期超过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日，乙方有权解除合同，甲方承担违约责任。</w:t>
      </w:r>
    </w:p>
    <w:p w14:paraId="6C013CAF">
      <w:pPr>
        <w:pStyle w:val="3"/>
        <w:spacing w:before="25" w:line="319" w:lineRule="auto"/>
        <w:ind w:left="117" w:right="213" w:firstLine="330"/>
        <w:jc w:val="both"/>
      </w:pPr>
      <w:r>
        <w:rPr>
          <w:color w:val="231F20"/>
        </w:rPr>
        <w:t>（三）甲方</w:t>
      </w:r>
      <w:r>
        <w:rPr>
          <w:rFonts w:hint="eastAsia"/>
          <w:color w:val="231F20"/>
          <w:lang w:val="en-US" w:eastAsia="zh-CN"/>
        </w:rPr>
        <w:t>出租</w:t>
      </w:r>
      <w:r>
        <w:rPr>
          <w:color w:val="231F20"/>
        </w:rPr>
        <w:t>的林地手续不合法，或林地林木权属不清产生纠纷，致使合同全部或部分不能履行，甲方应承担违约责任。甲方违反合同约定擅自干涉和破坏乙方的生产经营 , 致使乙方无法进行正常的生产经营活动的，乙方有权解除合同，甲方应承担违约责任。</w:t>
      </w:r>
    </w:p>
    <w:p w14:paraId="1F856040">
      <w:pPr>
        <w:pStyle w:val="3"/>
        <w:tabs>
          <w:tab w:val="left" w:pos="4098"/>
          <w:tab w:val="left" w:pos="7194"/>
        </w:tabs>
        <w:spacing w:before="25" w:line="319" w:lineRule="auto"/>
        <w:ind w:left="117" w:right="208" w:firstLine="330"/>
        <w:jc w:val="both"/>
      </w:pPr>
      <w:r>
        <w:rPr>
          <w:color w:val="231F20"/>
          <w:spacing w:val="2"/>
        </w:rPr>
        <w:t>（四）乙方应按照合同规定按时足额向甲方支付</w:t>
      </w:r>
      <w:r>
        <w:rPr>
          <w:rFonts w:hint="eastAsia"/>
          <w:color w:val="231F20"/>
          <w:spacing w:val="2"/>
          <w:lang w:val="en-US" w:eastAsia="zh-CN"/>
        </w:rPr>
        <w:t>租金</w:t>
      </w:r>
      <w:r>
        <w:rPr>
          <w:color w:val="231F20"/>
          <w:spacing w:val="2"/>
        </w:rPr>
        <w:t>，逾期一日乙方应向甲</w:t>
      </w:r>
      <w:r>
        <w:rPr>
          <w:color w:val="231F20"/>
        </w:rPr>
        <w:t>方支付本期（年）应付</w:t>
      </w:r>
      <w:r>
        <w:rPr>
          <w:rFonts w:hint="eastAsia"/>
          <w:color w:val="231F20"/>
          <w:lang w:val="en-US" w:eastAsia="zh-CN"/>
        </w:rPr>
        <w:t>租金</w:t>
      </w:r>
      <w:r>
        <w:rPr>
          <w:color w:val="231F20"/>
        </w:rPr>
        <w:t>的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‰作为违约金。逾期超过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日，甲方有权解除合</w:t>
      </w:r>
    </w:p>
    <w:p w14:paraId="0D8200FA">
      <w:pPr>
        <w:pStyle w:val="3"/>
        <w:spacing w:before="24"/>
        <w:ind w:left="117"/>
      </w:pPr>
      <w:r>
        <w:rPr>
          <w:color w:val="231F20"/>
        </w:rPr>
        <w:t>同，乙方应承担违约责任。</w:t>
      </w:r>
    </w:p>
    <w:p w14:paraId="24E51716">
      <w:pPr>
        <w:pStyle w:val="3"/>
        <w:tabs>
          <w:tab w:val="left" w:pos="4623"/>
        </w:tabs>
        <w:spacing w:before="109" w:line="319" w:lineRule="auto"/>
        <w:ind w:left="117" w:right="215" w:firstLine="330"/>
        <w:jc w:val="both"/>
      </w:pPr>
      <w:r>
        <w:rPr>
          <w:color w:val="231F20"/>
        </w:rPr>
        <w:t>（五</w:t>
      </w:r>
      <w:r>
        <w:rPr>
          <w:color w:val="231F20"/>
          <w:spacing w:val="-4"/>
        </w:rPr>
        <w:t>）</w:t>
      </w:r>
      <w:r>
        <w:rPr>
          <w:color w:val="231F20"/>
        </w:rPr>
        <w:t>自宜林地造林绿化约定期满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日后，乙方不履行造林绿化约定的</w:t>
      </w:r>
      <w:r>
        <w:rPr>
          <w:color w:val="231F20"/>
          <w:spacing w:val="-56"/>
        </w:rPr>
        <w:t>，</w:t>
      </w:r>
      <w:r>
        <w:rPr>
          <w:color w:val="231F20"/>
        </w:rPr>
        <w:t>甲方有权无偿收回未造林绿化的林地。</w:t>
      </w:r>
    </w:p>
    <w:p w14:paraId="678B9FF2">
      <w:pPr>
        <w:pStyle w:val="3"/>
        <w:spacing w:before="25" w:line="319" w:lineRule="auto"/>
        <w:ind w:left="117" w:right="208" w:firstLine="330"/>
        <w:jc w:val="both"/>
      </w:pPr>
      <w:r>
        <w:rPr>
          <w:color w:val="231F20"/>
        </w:rPr>
        <w:t>（六）乙方给林地造成永久性损害，或者擅自改变林地用途或者造成森林资源严重破坏，经县级以上林业主管部门确认后，甲方有权要求乙方赔偿违约损失、有权解除合同，收回该林地经营使用权。</w:t>
      </w:r>
    </w:p>
    <w:p w14:paraId="79A0B1E6">
      <w:pPr>
        <w:pStyle w:val="3"/>
        <w:tabs>
          <w:tab w:val="left" w:pos="1437"/>
        </w:tabs>
        <w:spacing w:before="19"/>
        <w:ind w:left="557"/>
      </w:pPr>
      <w:r>
        <w:rPr>
          <w:rFonts w:hint="eastAsia" w:ascii="方正黑体_GBK" w:eastAsia="方正黑体_GBK"/>
          <w:color w:val="231F20"/>
        </w:rPr>
        <w:t>第九条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合同争议的解决方式</w:t>
      </w:r>
    </w:p>
    <w:p w14:paraId="1D02ADC5">
      <w:pPr>
        <w:pStyle w:val="3"/>
        <w:spacing w:before="109" w:line="319" w:lineRule="auto"/>
        <w:ind w:left="117" w:right="105" w:firstLine="440"/>
      </w:pPr>
      <w:r>
        <w:rPr>
          <w:color w:val="231F20"/>
        </w:rPr>
        <w:t>本合同的订立、效力、履行、变更及终止等发生争议时，双方当事人可以通过协商解决， 也可以请求村民委员会、乡（镇）人民政府等调解解决。当事人不愿协商、调解或者协商、调解不成的，约定采用如下方式解决：</w:t>
      </w:r>
    </w:p>
    <w:p w14:paraId="1DA7929A">
      <w:pPr>
        <w:pStyle w:val="3"/>
        <w:spacing w:before="25"/>
        <w:ind w:left="557"/>
      </w:pPr>
      <w:r>
        <w:rPr>
          <w:color w:val="231F20"/>
        </w:rPr>
        <w:t>□提请当地农村土地仲裁机构仲裁。□向有权管辖的人民法院提起诉讼。</w:t>
      </w:r>
    </w:p>
    <w:p w14:paraId="01C5303D">
      <w:pPr>
        <w:pStyle w:val="3"/>
        <w:tabs>
          <w:tab w:val="left" w:pos="1437"/>
        </w:tabs>
        <w:spacing w:before="102"/>
        <w:ind w:left="557"/>
      </w:pPr>
      <w:r>
        <w:rPr>
          <w:rFonts w:hint="eastAsia" w:ascii="方正黑体_GBK" w:eastAsia="方正黑体_GBK"/>
          <w:color w:val="231F20"/>
        </w:rPr>
        <w:t>第十条</w:t>
      </w:r>
      <w:r>
        <w:rPr>
          <w:rFonts w:hint="eastAsia" w:ascii="方正黑体_GBK" w:eastAsia="方正黑体_GBK"/>
          <w:color w:val="231F20"/>
        </w:rPr>
        <w:tab/>
      </w:r>
      <w:r>
        <w:rPr>
          <w:color w:val="231F20"/>
        </w:rPr>
        <w:t>附则</w:t>
      </w:r>
    </w:p>
    <w:p w14:paraId="31F02BDA">
      <w:pPr>
        <w:pStyle w:val="3"/>
        <w:spacing w:before="109" w:line="319" w:lineRule="auto"/>
        <w:ind w:left="117" w:right="209" w:firstLine="330"/>
        <w:jc w:val="both"/>
      </w:pPr>
      <w:r>
        <w:rPr>
          <w:color w:val="231F20"/>
        </w:rPr>
        <w:t>（一）本合同未尽事宜，经</w:t>
      </w:r>
      <w:r>
        <w:rPr>
          <w:rFonts w:hint="eastAsia"/>
          <w:color w:val="231F20"/>
          <w:lang w:val="en-US" w:eastAsia="zh-CN"/>
        </w:rPr>
        <w:t>出租</w:t>
      </w:r>
      <w:r>
        <w:rPr>
          <w:color w:val="231F20"/>
        </w:rPr>
        <w:t>方、</w:t>
      </w:r>
      <w:r>
        <w:rPr>
          <w:rFonts w:hint="eastAsia"/>
          <w:color w:val="231F20"/>
          <w:lang w:val="en-US" w:eastAsia="zh-CN"/>
        </w:rPr>
        <w:t>承租</w:t>
      </w:r>
      <w:r>
        <w:rPr>
          <w:color w:val="231F20"/>
        </w:rPr>
        <w:t>方协商一致后可签订补充协议。补充协议与本合同具有同等法律效力。</w:t>
      </w:r>
    </w:p>
    <w:p w14:paraId="1E850EF0">
      <w:pPr>
        <w:pStyle w:val="3"/>
        <w:tabs>
          <w:tab w:val="left" w:pos="9078"/>
        </w:tabs>
        <w:spacing w:before="26"/>
        <w:ind w:left="557"/>
      </w:pPr>
      <w:r>
        <w:rPr>
          <w:color w:val="231F20"/>
        </w:rPr>
        <w:t>补充条款（可另附件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  <w:u w:val="single"/>
        </w:rPr>
        <w:tab/>
      </w:r>
      <w:r>
        <w:rPr>
          <w:color w:val="231F20"/>
        </w:rPr>
        <w:t>。</w:t>
      </w:r>
    </w:p>
    <w:p w14:paraId="2DBDF8EC">
      <w:pPr>
        <w:pStyle w:val="3"/>
        <w:tabs>
          <w:tab w:val="left" w:pos="6387"/>
          <w:tab w:val="left" w:pos="6499"/>
        </w:tabs>
        <w:spacing w:before="109" w:line="319" w:lineRule="auto"/>
        <w:ind w:left="117" w:right="210" w:firstLine="330"/>
        <w:jc w:val="both"/>
      </w:pPr>
      <w:r>
        <w:rPr>
          <w:color w:val="231F20"/>
          <w:spacing w:val="5"/>
        </w:rPr>
        <w:t>（二）本合同自当事人签字盖章起生</w:t>
      </w:r>
      <w:r>
        <w:rPr>
          <w:color w:val="231F20"/>
        </w:rPr>
        <w:t>效</w:t>
      </w:r>
      <w:r>
        <w:rPr>
          <w:color w:val="231F20"/>
          <w:spacing w:val="5"/>
        </w:rPr>
        <w:t>。本合同一</w:t>
      </w:r>
      <w:r>
        <w:rPr>
          <w:color w:val="231F20"/>
        </w:rPr>
        <w:t>式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>份</w:t>
      </w:r>
      <w:r>
        <w:rPr>
          <w:color w:val="231F20"/>
          <w:spacing w:val="5"/>
        </w:rPr>
        <w:t>，由</w:t>
      </w:r>
      <w:r>
        <w:rPr>
          <w:rFonts w:hint="eastAsia"/>
          <w:color w:val="231F20"/>
          <w:spacing w:val="5"/>
          <w:lang w:val="en-US" w:eastAsia="zh-CN"/>
        </w:rPr>
        <w:t>出租</w:t>
      </w:r>
      <w:r>
        <w:rPr>
          <w:color w:val="231F20"/>
        </w:rPr>
        <w:t>方</w:t>
      </w:r>
      <w:r>
        <w:rPr>
          <w:color w:val="231F20"/>
          <w:spacing w:val="5"/>
        </w:rPr>
        <w:t>、</w:t>
      </w:r>
      <w:r>
        <w:rPr>
          <w:rFonts w:hint="eastAsia"/>
          <w:color w:val="231F20"/>
          <w:spacing w:val="5"/>
          <w:lang w:val="en-US" w:eastAsia="zh-CN"/>
        </w:rPr>
        <w:t>承租</w:t>
      </w:r>
      <w:r>
        <w:rPr>
          <w:color w:val="231F20"/>
        </w:rPr>
        <w:t>方</w:t>
      </w:r>
      <w:r>
        <w:rPr>
          <w:color w:val="231F20"/>
          <w:spacing w:val="5"/>
        </w:rPr>
        <w:t>、林</w:t>
      </w:r>
      <w:r>
        <w:rPr>
          <w:color w:val="231F20"/>
        </w:rPr>
        <w:t>地所有权的集体经济组织、县级林业主管部门</w:t>
      </w:r>
      <w:r>
        <w:rPr>
          <w:color w:val="231F20"/>
          <w:u w:val="single" w:color="231F20"/>
        </w:rPr>
        <w:t>、</w:t>
      </w:r>
      <w:r>
        <w:rPr>
          <w:color w:val="231F20"/>
          <w:u w:val="single" w:color="231F20"/>
        </w:rPr>
        <w:tab/>
      </w:r>
      <w:r>
        <w:rPr>
          <w:color w:val="231F20"/>
        </w:rPr>
        <w:t>、各执一份。</w:t>
      </w:r>
    </w:p>
    <w:p w14:paraId="40C974DC">
      <w:pPr>
        <w:pStyle w:val="3"/>
        <w:rPr>
          <w:sz w:val="24"/>
        </w:rPr>
      </w:pPr>
    </w:p>
    <w:p w14:paraId="34B26FB5">
      <w:pPr>
        <w:pStyle w:val="3"/>
        <w:rPr>
          <w:sz w:val="24"/>
        </w:rPr>
      </w:pPr>
    </w:p>
    <w:p w14:paraId="3B495F97">
      <w:pPr>
        <w:pStyle w:val="3"/>
        <w:tabs>
          <w:tab w:val="left" w:pos="5157"/>
        </w:tabs>
        <w:spacing w:before="184"/>
        <w:ind w:left="557"/>
      </w:pPr>
      <w:r>
        <w:rPr>
          <w:color w:val="231F20"/>
        </w:rPr>
        <w:t>甲方盖章（签字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</w:rPr>
        <w:tab/>
      </w:r>
      <w:r>
        <w:rPr>
          <w:color w:val="231F20"/>
        </w:rPr>
        <w:t>乙方盖章（签字</w:t>
      </w:r>
      <w:r>
        <w:rPr>
          <w:color w:val="231F20"/>
          <w:spacing w:val="-28"/>
        </w:rPr>
        <w:t>）：</w:t>
      </w:r>
    </w:p>
    <w:p w14:paraId="1DAE7376">
      <w:pPr>
        <w:pStyle w:val="3"/>
        <w:rPr>
          <w:sz w:val="24"/>
        </w:rPr>
      </w:pPr>
    </w:p>
    <w:p w14:paraId="085DF8DF">
      <w:pPr>
        <w:pStyle w:val="3"/>
        <w:tabs>
          <w:tab w:val="left" w:pos="5157"/>
        </w:tabs>
        <w:spacing w:before="188"/>
        <w:ind w:left="557"/>
      </w:pPr>
      <w:r>
        <w:rPr>
          <w:color w:val="231F20"/>
        </w:rPr>
        <w:t>法定代表（委托代理人）签字：</w:t>
      </w:r>
      <w:r>
        <w:rPr>
          <w:color w:val="231F20"/>
        </w:rPr>
        <w:tab/>
      </w:r>
      <w:r>
        <w:rPr>
          <w:color w:val="231F20"/>
        </w:rPr>
        <w:t>法定代表（委托代理人）签字：</w:t>
      </w:r>
    </w:p>
    <w:p w14:paraId="3A3DAE88">
      <w:pPr>
        <w:pStyle w:val="3"/>
        <w:tabs>
          <w:tab w:val="left" w:pos="2482"/>
          <w:tab w:val="left" w:pos="3142"/>
          <w:tab w:val="left" w:pos="3802"/>
          <w:tab w:val="left" w:pos="5157"/>
          <w:tab w:val="left" w:pos="7082"/>
          <w:tab w:val="left" w:pos="7742"/>
          <w:tab w:val="left" w:pos="8402"/>
        </w:tabs>
        <w:spacing w:before="109"/>
        <w:ind w:left="557"/>
      </w:pPr>
      <w:r>
        <w:rPr>
          <w:color w:val="231F20"/>
        </w:rPr>
        <w:t>签约日期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</w:t>
      </w:r>
      <w:r>
        <w:rPr>
          <w:color w:val="231F20"/>
        </w:rPr>
        <w:tab/>
      </w:r>
      <w:r>
        <w:rPr>
          <w:color w:val="231F20"/>
        </w:rPr>
        <w:t>签约日期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</w:t>
      </w:r>
    </w:p>
    <w:p w14:paraId="08475AF4">
      <w:pPr>
        <w:spacing w:after="0"/>
        <w:sectPr>
          <w:footerReference r:id="rId5" w:type="default"/>
          <w:footerReference r:id="rId6" w:type="even"/>
          <w:pgSz w:w="11910" w:h="16840"/>
          <w:pgMar w:top="1580" w:right="1200" w:bottom="1020" w:left="1300" w:header="0" w:footer="832" w:gutter="0"/>
          <w:cols w:space="720" w:num="1"/>
        </w:sectPr>
      </w:pPr>
    </w:p>
    <w:p w14:paraId="0891687C">
      <w:pPr>
        <w:pStyle w:val="3"/>
        <w:spacing w:before="18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附件清单：</w:t>
      </w:r>
    </w:p>
    <w:p w14:paraId="01529BF2">
      <w:pPr>
        <w:pStyle w:val="3"/>
        <w:spacing w:before="4"/>
        <w:rPr>
          <w:rFonts w:ascii="方正黑体_GBK"/>
          <w:sz w:val="14"/>
        </w:rPr>
      </w:pPr>
    </w:p>
    <w:tbl>
      <w:tblPr>
        <w:tblStyle w:val="4"/>
        <w:tblW w:w="0" w:type="auto"/>
        <w:tblInd w:w="122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4956"/>
        <w:gridCol w:w="1498"/>
        <w:gridCol w:w="870"/>
        <w:gridCol w:w="869"/>
      </w:tblGrid>
      <w:tr w14:paraId="053E203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6ACB64BE">
            <w:pPr>
              <w:pStyle w:val="8"/>
              <w:spacing w:before="44"/>
              <w:ind w:left="234" w:right="22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序号</w:t>
            </w:r>
          </w:p>
        </w:tc>
        <w:tc>
          <w:tcPr>
            <w:tcW w:w="4956" w:type="dxa"/>
          </w:tcPr>
          <w:p w14:paraId="27074188">
            <w:pPr>
              <w:pStyle w:val="8"/>
              <w:spacing w:before="44"/>
              <w:ind w:left="1287" w:right="12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附件名称</w:t>
            </w:r>
          </w:p>
        </w:tc>
        <w:tc>
          <w:tcPr>
            <w:tcW w:w="1498" w:type="dxa"/>
          </w:tcPr>
          <w:p w14:paraId="6151CD62">
            <w:pPr>
              <w:pStyle w:val="8"/>
              <w:spacing w:before="44"/>
              <w:ind w:left="387"/>
              <w:rPr>
                <w:sz w:val="18"/>
              </w:rPr>
            </w:pPr>
            <w:r>
              <w:rPr>
                <w:color w:val="231F20"/>
                <w:sz w:val="18"/>
              </w:rPr>
              <w:t>是否具备</w:t>
            </w:r>
          </w:p>
        </w:tc>
        <w:tc>
          <w:tcPr>
            <w:tcW w:w="870" w:type="dxa"/>
          </w:tcPr>
          <w:p w14:paraId="28D7D459">
            <w:pPr>
              <w:pStyle w:val="8"/>
              <w:spacing w:before="44"/>
              <w:ind w:left="253"/>
              <w:rPr>
                <w:sz w:val="18"/>
              </w:rPr>
            </w:pPr>
            <w:r>
              <w:rPr>
                <w:color w:val="231F20"/>
                <w:sz w:val="18"/>
              </w:rPr>
              <w:t>页数</w:t>
            </w:r>
          </w:p>
        </w:tc>
        <w:tc>
          <w:tcPr>
            <w:tcW w:w="869" w:type="dxa"/>
          </w:tcPr>
          <w:p w14:paraId="780F18FF">
            <w:pPr>
              <w:pStyle w:val="8"/>
              <w:spacing w:before="44"/>
              <w:ind w:left="253"/>
              <w:rPr>
                <w:sz w:val="18"/>
              </w:rPr>
            </w:pPr>
            <w:r>
              <w:rPr>
                <w:color w:val="231F20"/>
                <w:sz w:val="18"/>
              </w:rPr>
              <w:t>备注</w:t>
            </w:r>
          </w:p>
        </w:tc>
      </w:tr>
      <w:tr w14:paraId="4CC9DB02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0BD41F79">
            <w:pPr>
              <w:pStyle w:val="8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4956" w:type="dxa"/>
          </w:tcPr>
          <w:p w14:paraId="0B711671">
            <w:pPr>
              <w:pStyle w:val="8"/>
              <w:spacing w:before="44"/>
              <w:ind w:left="1287" w:right="1279"/>
              <w:jc w:val="center"/>
              <w:rPr>
                <w:sz w:val="18"/>
              </w:rPr>
            </w:pPr>
            <w:r>
              <w:rPr>
                <w:rFonts w:hint="eastAsia"/>
                <w:color w:val="231F20"/>
                <w:sz w:val="18"/>
              </w:rPr>
              <w:t>双方主体资格证明文件</w:t>
            </w:r>
          </w:p>
        </w:tc>
        <w:tc>
          <w:tcPr>
            <w:tcW w:w="1498" w:type="dxa"/>
          </w:tcPr>
          <w:p w14:paraId="65E3E0A7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1F91E458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746D7683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3AF9E0BD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36D46D20">
            <w:pPr>
              <w:pStyle w:val="8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4956" w:type="dxa"/>
          </w:tcPr>
          <w:p w14:paraId="5F032056">
            <w:pPr>
              <w:pStyle w:val="8"/>
              <w:spacing w:before="44"/>
              <w:ind w:left="1287" w:right="1279"/>
              <w:jc w:val="center"/>
              <w:rPr>
                <w:sz w:val="18"/>
              </w:rPr>
            </w:pPr>
            <w:r>
              <w:rPr>
                <w:rFonts w:hint="eastAsia"/>
                <w:color w:val="231F20"/>
                <w:sz w:val="18"/>
              </w:rPr>
              <w:t>授权委托书（如有）</w:t>
            </w:r>
          </w:p>
        </w:tc>
        <w:tc>
          <w:tcPr>
            <w:tcW w:w="1498" w:type="dxa"/>
          </w:tcPr>
          <w:p w14:paraId="268A3A59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8E198F0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3687E2A2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49E4A909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7E7A7894">
            <w:pPr>
              <w:pStyle w:val="8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4956" w:type="dxa"/>
          </w:tcPr>
          <w:p w14:paraId="6BD072E6">
            <w:pPr>
              <w:pStyle w:val="8"/>
              <w:spacing w:before="44"/>
              <w:ind w:left="1287" w:right="1279"/>
              <w:jc w:val="center"/>
              <w:rPr>
                <w:sz w:val="18"/>
              </w:rPr>
            </w:pPr>
            <w:r>
              <w:rPr>
                <w:rFonts w:hint="eastAsia"/>
                <w:color w:val="231F20"/>
                <w:sz w:val="18"/>
              </w:rPr>
              <w:t>林地四至范围附图</w:t>
            </w:r>
          </w:p>
        </w:tc>
        <w:tc>
          <w:tcPr>
            <w:tcW w:w="1498" w:type="dxa"/>
          </w:tcPr>
          <w:p w14:paraId="01F0FF96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5614A6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0ACA47DD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2D7D1FA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36603943">
            <w:pPr>
              <w:pStyle w:val="8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4956" w:type="dxa"/>
          </w:tcPr>
          <w:p w14:paraId="15F11C2F">
            <w:pPr>
              <w:pStyle w:val="8"/>
              <w:spacing w:before="44"/>
              <w:ind w:left="1287" w:right="1279"/>
              <w:jc w:val="center"/>
              <w:rPr>
                <w:sz w:val="18"/>
              </w:rPr>
            </w:pPr>
            <w:r>
              <w:rPr>
                <w:rFonts w:hint="eastAsia"/>
                <w:color w:val="231F20"/>
                <w:sz w:val="18"/>
                <w:lang w:val="en-US" w:eastAsia="zh-CN"/>
              </w:rPr>
              <w:t>林地</w:t>
            </w:r>
            <w:r>
              <w:rPr>
                <w:color w:val="231F20"/>
                <w:sz w:val="18"/>
              </w:rPr>
              <w:t>的权属证明</w:t>
            </w:r>
          </w:p>
        </w:tc>
        <w:tc>
          <w:tcPr>
            <w:tcW w:w="1498" w:type="dxa"/>
          </w:tcPr>
          <w:p w14:paraId="3747942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34281DD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34A921C7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446CFAF5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2374CB97">
            <w:pPr>
              <w:pStyle w:val="8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4956" w:type="dxa"/>
          </w:tcPr>
          <w:p w14:paraId="3D0D5BB0">
            <w:pPr>
              <w:pStyle w:val="8"/>
              <w:spacing w:before="44"/>
              <w:ind w:left="1287" w:right="12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村民会议决议书及公示材料</w:t>
            </w:r>
          </w:p>
        </w:tc>
        <w:tc>
          <w:tcPr>
            <w:tcW w:w="1498" w:type="dxa"/>
          </w:tcPr>
          <w:p w14:paraId="08967DCB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59FD76B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25C02079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26A31636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61303C34">
            <w:pPr>
              <w:pStyle w:val="8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4956" w:type="dxa"/>
          </w:tcPr>
          <w:p w14:paraId="521909CC">
            <w:pPr>
              <w:pStyle w:val="8"/>
              <w:spacing w:before="44"/>
              <w:ind w:left="1287" w:right="1279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附属建筑及设施清单</w:t>
            </w:r>
          </w:p>
        </w:tc>
        <w:tc>
          <w:tcPr>
            <w:tcW w:w="1498" w:type="dxa"/>
          </w:tcPr>
          <w:p w14:paraId="74D1F9E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0099124C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7C640426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233B700E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64CA24B6">
            <w:pPr>
              <w:pStyle w:val="8"/>
              <w:spacing w:before="44"/>
              <w:ind w:left="8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4956" w:type="dxa"/>
          </w:tcPr>
          <w:p w14:paraId="04EEFD28">
            <w:pPr>
              <w:pStyle w:val="8"/>
              <w:spacing w:before="44"/>
              <w:ind w:left="1287" w:right="1279"/>
              <w:jc w:val="center"/>
              <w:rPr>
                <w:sz w:val="18"/>
              </w:rPr>
            </w:pPr>
          </w:p>
        </w:tc>
        <w:tc>
          <w:tcPr>
            <w:tcW w:w="1498" w:type="dxa"/>
          </w:tcPr>
          <w:p w14:paraId="384796CE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557FF28E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1295514D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453A795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128365F2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956" w:type="dxa"/>
          </w:tcPr>
          <w:p w14:paraId="707FB2C4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5EE1D0D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44E98836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6ADCC715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1481015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2B1F8835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956" w:type="dxa"/>
          </w:tcPr>
          <w:p w14:paraId="5997B25B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3E06C99F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56FFC812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6C28C68E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71E24A11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70" w:type="dxa"/>
          </w:tcPr>
          <w:p w14:paraId="36B87EDD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4956" w:type="dxa"/>
          </w:tcPr>
          <w:p w14:paraId="5E3E2076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</w:tcPr>
          <w:p w14:paraId="7031D5D2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70" w:type="dxa"/>
          </w:tcPr>
          <w:p w14:paraId="2F65EA2A">
            <w:pPr>
              <w:pStyle w:val="8"/>
              <w:rPr>
                <w:rFonts w:ascii="Times New Roman"/>
                <w:sz w:val="18"/>
              </w:rPr>
            </w:pPr>
          </w:p>
        </w:tc>
        <w:tc>
          <w:tcPr>
            <w:tcW w:w="869" w:type="dxa"/>
          </w:tcPr>
          <w:p w14:paraId="7B1C5BB2">
            <w:pPr>
              <w:pStyle w:val="8"/>
              <w:rPr>
                <w:rFonts w:ascii="Times New Roman"/>
                <w:sz w:val="18"/>
              </w:rPr>
            </w:pPr>
          </w:p>
        </w:tc>
      </w:tr>
      <w:tr w14:paraId="72A70047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063" w:type="dxa"/>
            <w:gridSpan w:val="5"/>
          </w:tcPr>
          <w:p w14:paraId="57F45601">
            <w:pPr>
              <w:pStyle w:val="8"/>
              <w:tabs>
                <w:tab w:val="left" w:pos="1012"/>
                <w:tab w:val="left" w:pos="1912"/>
              </w:tabs>
              <w:spacing w:before="4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共计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份，</w:t>
            </w:r>
            <w:r>
              <w:rPr>
                <w:color w:val="231F20"/>
                <w:sz w:val="18"/>
              </w:rPr>
              <w:tab/>
            </w:r>
            <w:r>
              <w:rPr>
                <w:color w:val="231F20"/>
                <w:sz w:val="18"/>
              </w:rPr>
              <w:t>页</w:t>
            </w:r>
          </w:p>
        </w:tc>
      </w:tr>
    </w:tbl>
    <w:p w14:paraId="195745D2"/>
    <w:sectPr>
      <w:pgSz w:w="11910" w:h="16840"/>
      <w:pgMar w:top="1580" w:right="1300" w:bottom="1020" w:left="1300" w:header="0" w:footer="8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1" w:fontKey="{DF3B7345-E145-4A24-A22F-463C87AE1900}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C0F9D4A-4D56-441E-B498-0A768694CF39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AC23D23-9BE4-4EEF-B77C-571FAC254C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C1388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6570980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0E440"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17.4pt;margin-top:789.25pt;height:13.1pt;width:9pt;mso-position-horizontal-relative:page;mso-position-vertical-relative:page;z-index:-251656192;mso-width-relative:page;mso-height-relative:page;" filled="f" stroked="f" coordsize="21600,21600" o:gfxdata="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PhvTfjbAAAADwEAAA8AAAAAAAAAAQAgAAAAIgAAAGRycy9kb3ducmV2LnhtbFBL&#10;AQIUABQAAAAIAIdO4kAIarsg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C0E440"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62708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30792"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8.85pt;margin-top:789.25pt;height:13.1pt;width:9pt;mso-position-horizontal-relative:page;mso-position-vertical-relative:page;z-index:-251656192;mso-width-relative:page;mso-height-relative:page;" filled="f" stroked="f" coordsize="21600,21600" o:gfxdata="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ZDeZu2gAAAA0BAAAPAAAAAAAAAAEAIAAAACIAAABkcnMvZG93bnJldi54bWxQSwEC&#10;FAAUAAAACACHTuJAVn6wHr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830792"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843AF"/>
    <w:rsid w:val="2AAE400B"/>
    <w:rsid w:val="2E0072E4"/>
    <w:rsid w:val="4FCA4FA5"/>
    <w:rsid w:val="51595630"/>
    <w:rsid w:val="52DE7C92"/>
    <w:rsid w:val="6BB3262D"/>
    <w:rsid w:val="7EF86F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3"/>
      <w:ind w:left="117"/>
      <w:outlineLvl w:val="1"/>
    </w:pPr>
    <w:rPr>
      <w:rFonts w:ascii="方正楷体_GBK" w:hAnsi="方正楷体_GBK" w:eastAsia="方正楷体_GBK" w:cs="方正楷体_GBK"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书宋_GBK" w:hAnsi="方正书宋_GBK" w:eastAsia="方正书宋_GBK" w:cs="方正书宋_GBK"/>
      <w:sz w:val="22"/>
      <w:szCs w:val="22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08"/>
      <w:ind w:left="117" w:hanging="218"/>
    </w:pPr>
    <w:rPr>
      <w:rFonts w:ascii="方正书宋_GBK" w:hAnsi="方正书宋_GBK" w:eastAsia="方正书宋_GBK" w:cs="方正书宋_GBK"/>
      <w:u w:val="single" w:color="000000"/>
    </w:rPr>
  </w:style>
  <w:style w:type="paragraph" w:customStyle="1" w:styleId="8">
    <w:name w:val="Table Paragraph"/>
    <w:basedOn w:val="1"/>
    <w:qFormat/>
    <w:uiPriority w:val="1"/>
    <w:rPr>
      <w:rFonts w:ascii="方正书宋_GBK" w:hAnsi="方正书宋_GBK" w:eastAsia="方正书宋_GBK" w:cs="方正书宋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3259</Words>
  <Characters>3341</Characters>
  <TotalTime>1</TotalTime>
  <ScaleCrop>false</ScaleCrop>
  <LinksUpToDate>false</LinksUpToDate>
  <CharactersWithSpaces>3677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2021-12-01T23:29:00Z</dcterms:created>
  <dc:creator>HUAWEI02</dc:creator>
  <cp:lastModifiedBy>x't'x</cp:lastModifiedBy>
  <dcterms:modified xsi:type="dcterms:W3CDTF">2026-01-23T01:47:11Z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TemplateDocerSaveRecord">
    <vt:lpwstr>eyJoZGlkIjoiMzAyYmQwNzRlN2U0MTAwNmZmMWMzNTVjMDRjYzUwMjciLCJ1c2VySWQiOiIzNjQzMzc0MDgifQ==</vt:lpwstr>
  </property>
  <property fmtid="{D5CDD505-2E9C-101B-9397-08002B2CF9AE}" pid="6" name="KSOProductBuildVer">
    <vt:lpwstr>2052-12.1.0.24657</vt:lpwstr>
  </property>
  <property fmtid="{D5CDD505-2E9C-101B-9397-08002B2CF9AE}" pid="7" name="ICV">
    <vt:lpwstr>6F41B9B729534871947CC463DC039F2E_13</vt:lpwstr>
  </property>
</Properties>
</file>