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spacing w:line="360" w:lineRule="auto"/>
        <w:ind w:right="843" w:firstLine="4498" w:firstLineChars="1600"/>
        <w:jc w:val="left"/>
        <w:rPr>
          <w:rFonts w:hint="default" w:ascii="黑体" w:hAnsi="黑体"/>
          <w:color w:val="auto"/>
          <w:sz w:val="44"/>
          <w:highlight w:val="none"/>
          <w:u w:val="single"/>
          <w:lang w:val="en-US"/>
        </w:rPr>
      </w:pPr>
      <w:r>
        <w:rPr>
          <w:rFonts w:hint="eastAsia" w:ascii="宋体" w:hAnsi="宋体" w:eastAsia="宋体" w:cs="宋体"/>
          <w:b/>
          <w:color w:val="auto"/>
          <w:sz w:val="28"/>
          <w:szCs w:val="28"/>
          <w:highlight w:val="none"/>
        </w:rPr>
        <w:t>合同编号：</w:t>
      </w:r>
      <w:r>
        <w:rPr>
          <w:rFonts w:hint="eastAsia" w:ascii="宋体" w:hAnsi="宋体" w:eastAsia="宋体" w:cs="宋体"/>
          <w:color w:val="auto"/>
          <w:sz w:val="28"/>
          <w:szCs w:val="28"/>
          <w:highlight w:val="none"/>
          <w:u w:val="single"/>
          <w:lang w:val="en-US" w:eastAsia="zh-CN"/>
        </w:rPr>
        <w:t xml:space="preserve">                    </w:t>
      </w:r>
    </w:p>
    <w:p>
      <w:pPr>
        <w:pStyle w:val="3"/>
        <w:rPr>
          <w:rFonts w:hint="default" w:ascii="黑体" w:hAnsi="黑体"/>
          <w:color w:val="auto"/>
          <w:sz w:val="44"/>
          <w:highlight w:val="none"/>
        </w:rPr>
      </w:pPr>
    </w:p>
    <w:p>
      <w:pPr>
        <w:spacing w:line="360" w:lineRule="auto"/>
        <w:jc w:val="center"/>
        <w:outlineLvl w:val="2"/>
        <w:rPr>
          <w:rFonts w:hint="eastAsia" w:ascii="黑体" w:hAnsi="黑体" w:eastAsia="黑体" w:cs="黑体"/>
          <w:b/>
          <w:bCs/>
          <w:color w:val="auto"/>
          <w:sz w:val="44"/>
          <w:szCs w:val="32"/>
          <w:highlight w:val="none"/>
          <w:lang w:val="en-US" w:eastAsia="zh-CN"/>
        </w:rPr>
      </w:pPr>
      <w:bookmarkStart w:id="0" w:name="_GoBack"/>
      <w:r>
        <w:rPr>
          <w:rFonts w:hint="eastAsia" w:ascii="黑体" w:hAnsi="黑体" w:eastAsia="黑体" w:cs="黑体"/>
          <w:b/>
          <w:bCs/>
          <w:color w:val="auto"/>
          <w:kern w:val="2"/>
          <w:sz w:val="44"/>
          <w:szCs w:val="32"/>
          <w:highlight w:val="none"/>
          <w:lang w:val="en-US" w:eastAsia="zh-CN" w:bidi="ar"/>
        </w:rPr>
        <w:t>海南省</w:t>
      </w:r>
      <w:r>
        <w:rPr>
          <w:rFonts w:hint="eastAsia" w:ascii="黑体" w:hAnsi="黑体" w:eastAsia="黑体" w:cs="黑体"/>
          <w:b/>
          <w:bCs/>
          <w:color w:val="auto"/>
          <w:sz w:val="44"/>
          <w:szCs w:val="32"/>
          <w:highlight w:val="none"/>
          <w:lang w:val="en-US" w:eastAsia="zh-CN"/>
        </w:rPr>
        <w:t>农村集体林权流转合同</w:t>
      </w:r>
    </w:p>
    <w:p>
      <w:pPr>
        <w:spacing w:line="360" w:lineRule="auto"/>
        <w:jc w:val="center"/>
        <w:outlineLvl w:val="2"/>
        <w:rPr>
          <w:rFonts w:hint="eastAsia" w:ascii="黑体" w:hAnsi="黑体" w:eastAsia="黑体" w:cs="黑体"/>
          <w:b/>
          <w:bCs/>
          <w:color w:val="auto"/>
          <w:sz w:val="44"/>
          <w:szCs w:val="32"/>
          <w:highlight w:val="none"/>
          <w:lang w:val="en-US" w:eastAsia="zh-CN"/>
        </w:rPr>
      </w:pPr>
      <w:r>
        <w:rPr>
          <w:rFonts w:hint="eastAsia" w:ascii="黑体" w:hAnsi="黑体" w:eastAsia="黑体" w:cs="黑体"/>
          <w:b/>
          <w:bCs/>
          <w:color w:val="auto"/>
          <w:sz w:val="44"/>
          <w:szCs w:val="32"/>
          <w:highlight w:val="none"/>
          <w:lang w:val="en-US" w:eastAsia="zh-CN"/>
        </w:rPr>
        <w:t>（示范文本）</w:t>
      </w:r>
      <w:bookmarkEnd w:id="0"/>
    </w:p>
    <w:p>
      <w:pPr>
        <w:pStyle w:val="3"/>
        <w:rPr>
          <w:rFonts w:hint="eastAsia" w:ascii="宋体" w:hAnsi="宋体" w:eastAsia="宋体" w:cs="宋体"/>
          <w:b/>
          <w:bCs/>
          <w:color w:val="auto"/>
          <w:sz w:val="44"/>
          <w:szCs w:val="32"/>
          <w:highlight w:val="none"/>
          <w:lang w:val="en-US" w:eastAsia="zh-CN"/>
        </w:rPr>
      </w:pPr>
    </w:p>
    <w:p>
      <w:pPr>
        <w:shd w:val="clear" w:color="auto" w:fill="auto"/>
        <w:spacing w:line="360" w:lineRule="auto"/>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rPr>
        <w:t>流出方（甲方）：</w:t>
      </w:r>
      <w:r>
        <w:rPr>
          <w:rFonts w:hint="eastAsia" w:ascii="Times New Roman" w:hAnsi="Times New Roman"/>
          <w:color w:val="auto"/>
          <w:sz w:val="28"/>
          <w:szCs w:val="28"/>
          <w:highlight w:val="none"/>
          <w:u w:val="single"/>
        </w:rPr>
        <w:t xml:space="preserve">                              </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流入方（乙方）：</w:t>
      </w:r>
      <w:r>
        <w:rPr>
          <w:rFonts w:hint="eastAsia" w:ascii="宋体" w:hAnsi="宋体" w:cs="宋体"/>
          <w:color w:val="auto"/>
          <w:sz w:val="24"/>
          <w:szCs w:val="24"/>
          <w:highlight w:val="none"/>
          <w:u w:val="single"/>
          <w:lang w:val="en-US" w:eastAsia="zh-CN"/>
        </w:rPr>
        <w:t xml:space="preserve">                                    </w:t>
      </w:r>
      <w:r>
        <w:rPr>
          <w:rFonts w:hint="eastAsia" w:ascii="Times New Roman" w:hAnsi="Times New Roman"/>
          <w:color w:val="auto"/>
          <w:sz w:val="28"/>
          <w:szCs w:val="28"/>
          <w:highlight w:val="none"/>
        </w:rPr>
        <w:t xml:space="preserve">                             </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为规范集体林权流转行为，维护流转当事人的合法权益，根据《中华人民共和国</w:t>
      </w:r>
      <w:r>
        <w:rPr>
          <w:rFonts w:hint="eastAsia" w:ascii="Times New Roman" w:hAnsi="Times New Roman"/>
          <w:color w:val="auto"/>
          <w:sz w:val="28"/>
          <w:szCs w:val="28"/>
          <w:highlight w:val="none"/>
          <w:lang w:val="en-US" w:eastAsia="zh-CN"/>
        </w:rPr>
        <w:t>民法典》《</w:t>
      </w:r>
      <w:r>
        <w:rPr>
          <w:rFonts w:hint="eastAsia" w:ascii="Times New Roman" w:hAnsi="Times New Roman"/>
          <w:color w:val="auto"/>
          <w:sz w:val="28"/>
          <w:szCs w:val="28"/>
          <w:highlight w:val="none"/>
        </w:rPr>
        <w:t>中华人民共和国农村土地承包法</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rPr>
        <w:t>中华人民共和国森林法》等法律法规及相关政策规定，经甲乙双方</w:t>
      </w:r>
      <w:r>
        <w:rPr>
          <w:rFonts w:hint="eastAsia" w:ascii="Times New Roman" w:hAnsi="Times New Roman"/>
          <w:color w:val="auto"/>
          <w:sz w:val="28"/>
          <w:szCs w:val="28"/>
          <w:highlight w:val="none"/>
          <w:lang w:eastAsia="zh-CN"/>
        </w:rPr>
        <w:t>协商</w:t>
      </w:r>
      <w:r>
        <w:rPr>
          <w:rFonts w:hint="eastAsia" w:ascii="Times New Roman" w:hAnsi="Times New Roman"/>
          <w:color w:val="auto"/>
          <w:sz w:val="28"/>
          <w:szCs w:val="28"/>
          <w:highlight w:val="none"/>
        </w:rPr>
        <w:t>，在平等自愿的基础上订立本合同。</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一、特定术语和规范</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一）本合同所称的集体林权流转是指在不改变集体林地所有权和林地用途及受保护的公益林、天然林性质的前提下，林权权利人将其依法取得的林木所有权、使用权和林地承包经营权或林地经营权，依法全部或部分转移给其他公民、法人及其他组织的行为。</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（二）集体林权流转应当遵循依法、自愿、有偿、公平公正和诚实守信原则，任何组织和个人不得强迫或者阻碍林权权利人依法进行林权流转，家庭承包林地流转的期限不得</w:t>
      </w:r>
      <w:r>
        <w:rPr>
          <w:rFonts w:hint="eastAsia" w:ascii="Times New Roman" w:hAnsi="Times New Roman"/>
          <w:color w:val="auto"/>
          <w:sz w:val="28"/>
          <w:szCs w:val="28"/>
          <w:highlight w:val="none"/>
          <w:lang w:eastAsia="zh-CN"/>
        </w:rPr>
        <w:t>超过</w:t>
      </w:r>
      <w:r>
        <w:rPr>
          <w:rFonts w:hint="eastAsia" w:ascii="Times New Roman" w:hAnsi="Times New Roman"/>
          <w:color w:val="auto"/>
          <w:sz w:val="28"/>
          <w:szCs w:val="28"/>
          <w:highlight w:val="none"/>
        </w:rPr>
        <w:t>承包期的剩余期限，自留山和集体统一经营管理林地流转的期限不得超过70年；流转林权再次流转的期限不得超过上一次流转合同约定的剩余期限。</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（三）甲方林权为通过家庭承包取得的，采取</w:t>
      </w:r>
      <w:r>
        <w:rPr>
          <w:rFonts w:hint="eastAsia" w:ascii="Times New Roman" w:hAnsi="Times New Roman"/>
          <w:color w:val="auto"/>
          <w:sz w:val="28"/>
          <w:szCs w:val="28"/>
          <w:highlight w:val="none"/>
          <w:lang w:eastAsia="zh-CN"/>
        </w:rPr>
        <w:t>转让方</w:t>
      </w:r>
      <w:r>
        <w:rPr>
          <w:rFonts w:hint="eastAsia" w:ascii="Times New Roman" w:hAnsi="Times New Roman"/>
          <w:color w:val="auto"/>
          <w:sz w:val="28"/>
          <w:szCs w:val="28"/>
          <w:highlight w:val="none"/>
        </w:rPr>
        <w:t>式流转的，应当经发包方同意；采取转包、出租、互换或其他方式流转的，应当报发包方备案。</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（四）甲方林权为集体统一经营管理的，流转给本集体经济组织以外的单位或者个人的， 应当在本集体经济组织内提前公示，经本集体经济组织成员的村民会议三分之二以上成员或者三分之二以上村民代表同意后报乡（镇）人民政府批准并在依法设立的公共资源交易中心等公开市场开展挂牌交易。甲方应当对乙方的资信情况和经营能力进行审查后，再签订合同。</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（五）流转后，乙方依法要求权属转移登记的，甲乙双方应向县级以上地方人民政府相关 登记机构申请登记。需办理林地经营权登记的，若地上有森林、林木，本合同应明确森林、林木所有权一并流转。</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二、流转标的物及流转</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（一）流转林权的权属证书为</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（林权证、不动产权证书、不动产登记证明或林地经营权流转证）（可另附件），其编号为</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；流转林地林木坐落在</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lang w:eastAsia="zh-CN"/>
        </w:rPr>
        <w:t>市（县）</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乡（镇/街道）</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村</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组；面积以权属证书登记面积为准，共计</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亩。</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（二）甲方现通过</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方式（转包、出租、互换、转让、入股、合作、其他[其他方式的应具体说明]）将</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（林地承包经营权、林地经营权、林木所有权、林木使用权）流转给乙方。</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（三）乙方应当依法经营利用流入的林地林木，用于</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（四）甲方</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（同意/ 不同意）乙方可再次流转本合同约定流转的权益。</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（五）甲方</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（同意/ 不同意）乙方</w:t>
      </w:r>
      <w:r>
        <w:rPr>
          <w:rFonts w:hint="eastAsia" w:ascii="Times New Roman" w:hAnsi="Times New Roman"/>
          <w:color w:val="auto"/>
          <w:sz w:val="28"/>
          <w:szCs w:val="28"/>
          <w:highlight w:val="none"/>
          <w:lang w:eastAsia="zh-CN"/>
        </w:rPr>
        <w:t>依</w:t>
      </w:r>
      <w:r>
        <w:rPr>
          <w:rFonts w:hint="eastAsia" w:ascii="Times New Roman" w:hAnsi="Times New Roman"/>
          <w:color w:val="auto"/>
          <w:sz w:val="28"/>
          <w:szCs w:val="28"/>
          <w:highlight w:val="none"/>
        </w:rPr>
        <w:t>本合同约定流转的林权抵（质）押贷款。</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（六）甲方</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（同意/ 不同意）乙方在流转林地上修建道路、临时建筑等林业生产经营设施。</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（七）若流转的林权涉及公益林或天然商品林等补偿，则补偿资金的分配方式为</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（八）流转期限从</w:t>
      </w:r>
      <w:r>
        <w:rPr>
          <w:rFonts w:hint="eastAsia" w:ascii="Times New Roman" w:hAnsi="Times New Roman"/>
          <w:color w:val="auto"/>
          <w:sz w:val="28"/>
          <w:szCs w:val="28"/>
          <w:highlight w:val="none"/>
          <w:u w:val="single"/>
        </w:rPr>
        <w:t xml:space="preserve"> </w:t>
      </w:r>
      <w:r>
        <w:rPr>
          <w:rFonts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年</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月</w:t>
      </w:r>
      <w:r>
        <w:rPr>
          <w:rFonts w:hint="eastAsia" w:ascii="Times New Roman" w:hAnsi="Times New Roman"/>
          <w:color w:val="auto"/>
          <w:sz w:val="28"/>
          <w:szCs w:val="28"/>
          <w:highlight w:val="none"/>
          <w:u w:val="single"/>
        </w:rPr>
        <w:t xml:space="preserve"> </w:t>
      </w:r>
      <w:r>
        <w:rPr>
          <w:rFonts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日起至</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年</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月_</w:t>
      </w:r>
      <w:r>
        <w:rPr>
          <w:rFonts w:ascii="Times New Roman" w:hAnsi="Times New Roman"/>
          <w:color w:val="auto"/>
          <w:sz w:val="28"/>
          <w:szCs w:val="28"/>
          <w:highlight w:val="none"/>
        </w:rPr>
        <w:t>____</w:t>
      </w:r>
      <w:r>
        <w:rPr>
          <w:rFonts w:hint="eastAsia" w:ascii="Times New Roman" w:hAnsi="Times New Roman"/>
          <w:color w:val="auto"/>
          <w:sz w:val="28"/>
          <w:szCs w:val="28"/>
          <w:highlight w:val="none"/>
        </w:rPr>
        <w:t>日止，共</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年。甲方应于</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年</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月</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日前将林地林木交付乙方。</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（九）其他约定：</w:t>
      </w:r>
    </w:p>
    <w:p>
      <w:pPr>
        <w:shd w:val="clear" w:color="auto" w:fill="auto"/>
        <w:spacing w:line="360" w:lineRule="auto"/>
        <w:ind w:firstLine="560" w:firstLineChars="200"/>
        <w:rPr>
          <w:rFonts w:ascii="Times New Roman" w:hAnsi="Times New Roman"/>
          <w:color w:val="auto"/>
          <w:sz w:val="28"/>
          <w:szCs w:val="28"/>
          <w:highlight w:val="none"/>
          <w:u w:val="single"/>
        </w:rPr>
      </w:pPr>
      <w:r>
        <w:rPr>
          <w:rFonts w:hint="eastAsia" w:ascii="Times New Roman" w:hAnsi="Times New Roman"/>
          <w:color w:val="auto"/>
          <w:sz w:val="28"/>
          <w:szCs w:val="28"/>
          <w:highlight w:val="none"/>
          <w:u w:val="single"/>
        </w:rPr>
        <w:t xml:space="preserve">                                                   </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三、流转价款、计价方式、履约保证金、交易服务费</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（一）以货币（均指人民币）计价：</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1.一次性付款方式。林权流转价款按每亩</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元，共计（大写）</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 xml:space="preserve"> ，支付时间为</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年</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 xml:space="preserve">月 </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日前。</w:t>
      </w:r>
    </w:p>
    <w:p>
      <w:pPr>
        <w:shd w:val="clear" w:color="auto" w:fill="auto"/>
        <w:spacing w:line="360" w:lineRule="auto"/>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2.分期付款方式。林木转让价款为</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 xml:space="preserve"> ；林地流转价款按每年每亩</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元</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rPr>
        <w:t xml:space="preserve"> 计每年</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。林地流转价款支付周期为</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年一期，每期林地流转价款在上一期基础上递增</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%。合同生效后</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日内，乙方应向甲方一次性支付林木转让价款</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和首期林地流转价款</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 xml:space="preserve">，共计 </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 xml:space="preserve"> ；以后乙方应于每期第</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u w:val="none"/>
        </w:rPr>
        <w:t xml:space="preserve"> 年的</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u w:val="none"/>
        </w:rPr>
        <w:t>月</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日前向甲方支付本期的林地流转价款。</w:t>
      </w:r>
    </w:p>
    <w:p>
      <w:pPr>
        <w:pStyle w:val="3"/>
        <w:rPr>
          <w:rFonts w:hint="eastAsia" w:ascii="Times New Roman" w:hAnsi="Times New Roman"/>
          <w:color w:val="auto"/>
          <w:sz w:val="28"/>
          <w:szCs w:val="28"/>
          <w:highlight w:val="none"/>
          <w:lang w:val="en-US" w:eastAsia="zh-CN"/>
        </w:rPr>
      </w:pPr>
      <w:r>
        <w:rPr>
          <w:rFonts w:hint="eastAsia" w:ascii="Times New Roman" w:hAnsi="Times New Roman"/>
          <w:color w:val="auto"/>
          <w:sz w:val="28"/>
          <w:szCs w:val="28"/>
          <w:highlight w:val="none"/>
          <w:lang w:val="en-US" w:eastAsia="zh-CN"/>
        </w:rPr>
        <w:t>3.乙方需同时支付本合同</w:t>
      </w:r>
      <w:r>
        <w:rPr>
          <w:rFonts w:hint="eastAsia" w:ascii="Times New Roman" w:hAnsi="Times New Roman"/>
          <w:color w:val="auto"/>
          <w:sz w:val="28"/>
          <w:szCs w:val="28"/>
          <w:highlight w:val="none"/>
        </w:rPr>
        <w:t>流转</w:t>
      </w:r>
      <w:r>
        <w:rPr>
          <w:rFonts w:hint="eastAsia" w:ascii="Times New Roman" w:hAnsi="Times New Roman"/>
          <w:color w:val="auto"/>
          <w:sz w:val="28"/>
          <w:szCs w:val="28"/>
          <w:highlight w:val="none"/>
          <w:lang w:val="en-US" w:eastAsia="zh-CN"/>
        </w:rPr>
        <w:t>标的履约保证金，履约保证金为：         元整（大写¥：</w:t>
      </w:r>
      <w:r>
        <w:rPr>
          <w:rFonts w:hint="eastAsia" w:ascii="Times New Roman" w:hAnsi="Times New Roman"/>
          <w:color w:val="auto"/>
          <w:sz w:val="28"/>
          <w:szCs w:val="28"/>
          <w:highlight w:val="none"/>
          <w:u w:val="single"/>
          <w:lang w:val="en-US" w:eastAsia="zh-CN"/>
        </w:rPr>
        <w:t xml:space="preserve">      </w:t>
      </w:r>
      <w:r>
        <w:rPr>
          <w:rFonts w:hint="eastAsia" w:ascii="Times New Roman" w:hAnsi="Times New Roman"/>
          <w:color w:val="auto"/>
          <w:sz w:val="28"/>
          <w:szCs w:val="28"/>
          <w:highlight w:val="none"/>
          <w:lang w:val="en-US" w:eastAsia="zh-CN"/>
        </w:rPr>
        <w:t>元整）。合同终止时，甲方收取的押金除用以抵充应由乙方承担的</w:t>
      </w:r>
      <w:r>
        <w:rPr>
          <w:rFonts w:hint="eastAsia" w:ascii="Times New Roman" w:hAnsi="Times New Roman"/>
          <w:color w:val="auto"/>
          <w:sz w:val="28"/>
          <w:szCs w:val="28"/>
          <w:highlight w:val="none"/>
          <w:u w:val="single"/>
          <w:lang w:val="en-US" w:eastAsia="zh-CN"/>
        </w:rPr>
        <w:t xml:space="preserve">        </w:t>
      </w:r>
      <w:r>
        <w:rPr>
          <w:rFonts w:hint="eastAsia" w:ascii="Times New Roman" w:hAnsi="Times New Roman"/>
          <w:color w:val="auto"/>
          <w:sz w:val="28"/>
          <w:szCs w:val="28"/>
          <w:highlight w:val="none"/>
          <w:lang w:val="en-US" w:eastAsia="zh-CN"/>
        </w:rPr>
        <w:t>费用外（如有），抵充后的余额应全部无息返还乙方。</w:t>
      </w:r>
    </w:p>
    <w:p>
      <w:pPr>
        <w:pStyle w:val="3"/>
        <w:rPr>
          <w:rFonts w:hint="eastAsia" w:ascii="Times New Roman" w:hAnsi="Times New Roman"/>
          <w:color w:val="auto"/>
          <w:sz w:val="28"/>
          <w:szCs w:val="28"/>
          <w:highlight w:val="none"/>
          <w:lang w:val="en-US" w:eastAsia="zh-CN"/>
        </w:rPr>
      </w:pPr>
      <w:r>
        <w:rPr>
          <w:rFonts w:hint="eastAsia" w:ascii="Times New Roman" w:hAnsi="Times New Roman"/>
          <w:color w:val="auto"/>
          <w:sz w:val="28"/>
          <w:szCs w:val="28"/>
          <w:highlight w:val="none"/>
          <w:lang w:val="en-US" w:eastAsia="zh-CN"/>
        </w:rPr>
        <w:t>4.根据《xx农村产权交易中心收费管理办法（试行）》办法，本标的流转交易服务费具体数额为¥：</w:t>
      </w:r>
      <w:r>
        <w:rPr>
          <w:rFonts w:hint="eastAsia" w:ascii="Times New Roman" w:hAnsi="Times New Roman"/>
          <w:color w:val="auto"/>
          <w:sz w:val="28"/>
          <w:szCs w:val="28"/>
          <w:highlight w:val="none"/>
          <w:u w:val="single"/>
          <w:lang w:val="en-US" w:eastAsia="zh-CN"/>
        </w:rPr>
        <w:t xml:space="preserve">            </w:t>
      </w:r>
      <w:r>
        <w:rPr>
          <w:rFonts w:hint="eastAsia" w:ascii="Times New Roman" w:hAnsi="Times New Roman"/>
          <w:color w:val="auto"/>
          <w:sz w:val="28"/>
          <w:szCs w:val="28"/>
          <w:highlight w:val="none"/>
          <w:lang w:val="en-US" w:eastAsia="zh-CN"/>
        </w:rPr>
        <w:t>元整（大写：</w:t>
      </w:r>
      <w:r>
        <w:rPr>
          <w:rFonts w:hint="eastAsia" w:ascii="Times New Roman" w:hAnsi="Times New Roman"/>
          <w:color w:val="auto"/>
          <w:sz w:val="28"/>
          <w:szCs w:val="28"/>
          <w:highlight w:val="none"/>
          <w:u w:val="single"/>
          <w:lang w:val="en-US" w:eastAsia="zh-CN"/>
        </w:rPr>
        <w:t xml:space="preserve">           </w:t>
      </w:r>
      <w:r>
        <w:rPr>
          <w:rFonts w:hint="eastAsia" w:ascii="Times New Roman" w:hAnsi="Times New Roman"/>
          <w:color w:val="auto"/>
          <w:sz w:val="28"/>
          <w:szCs w:val="28"/>
          <w:highlight w:val="none"/>
          <w:lang w:val="en-US" w:eastAsia="zh-CN"/>
        </w:rPr>
        <w:t>元整），具体数额以xx农村产权交易中心书面通知为准另行支付。</w:t>
      </w:r>
    </w:p>
    <w:p>
      <w:pPr>
        <w:numPr>
          <w:ilvl w:val="0"/>
          <w:numId w:val="1"/>
        </w:numPr>
        <w:shd w:val="clear" w:color="auto" w:fill="auto"/>
        <w:spacing w:line="360" w:lineRule="auto"/>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以实物或者其他方式计价：</w:t>
      </w:r>
    </w:p>
    <w:p>
      <w:pPr>
        <w:numPr>
          <w:ilvl w:val="0"/>
          <w:numId w:val="2"/>
        </w:numPr>
        <w:shd w:val="clear" w:color="auto" w:fill="auto"/>
        <w:spacing w:line="360" w:lineRule="auto"/>
        <w:ind w:firstLine="641" w:firstLineChars="0"/>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支付方式</w:t>
      </w:r>
    </w:p>
    <w:p>
      <w:pPr>
        <w:pStyle w:val="3"/>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双方当事人选择第</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种付款方式。</w:t>
      </w:r>
    </w:p>
    <w:p>
      <w:pPr>
        <w:numPr>
          <w:ilvl w:val="0"/>
          <w:numId w:val="0"/>
        </w:numPr>
        <w:spacing w:line="36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1.</w:t>
      </w:r>
      <w:r>
        <w:rPr>
          <w:rFonts w:hint="eastAsia" w:ascii="宋体" w:hAnsi="宋体" w:eastAsia="宋体" w:cs="宋体"/>
          <w:b w:val="0"/>
          <w:bCs w:val="0"/>
          <w:color w:val="auto"/>
          <w:sz w:val="28"/>
          <w:szCs w:val="28"/>
          <w:highlight w:val="none"/>
        </w:rPr>
        <w:t>本</w:t>
      </w:r>
      <w:r>
        <w:rPr>
          <w:rFonts w:hint="eastAsia" w:ascii="宋体" w:hAnsi="宋体" w:eastAsia="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rPr>
        <w:t>标的</w:t>
      </w:r>
      <w:r>
        <w:rPr>
          <w:rFonts w:hint="eastAsia" w:ascii="Times New Roman" w:hAnsi="Times New Roman"/>
          <w:color w:val="auto"/>
          <w:sz w:val="28"/>
          <w:szCs w:val="28"/>
          <w:highlight w:val="none"/>
        </w:rPr>
        <w:t>流转价款</w:t>
      </w:r>
      <w:r>
        <w:rPr>
          <w:rFonts w:hint="eastAsia" w:ascii="宋体" w:hAnsi="宋体" w:eastAsia="宋体" w:cs="宋体"/>
          <w:b w:val="0"/>
          <w:bCs w:val="0"/>
          <w:color w:val="auto"/>
          <w:sz w:val="28"/>
          <w:szCs w:val="28"/>
          <w:highlight w:val="none"/>
          <w:lang w:val="en-US" w:eastAsia="zh-CN"/>
        </w:rPr>
        <w:t>、履约金保证金、</w:t>
      </w:r>
      <w:r>
        <w:rPr>
          <w:rFonts w:hint="eastAsia" w:ascii="宋体" w:hAnsi="宋体" w:eastAsia="宋体" w:cs="宋体"/>
          <w:b w:val="0"/>
          <w:bCs w:val="0"/>
          <w:color w:val="auto"/>
          <w:sz w:val="28"/>
          <w:szCs w:val="28"/>
          <w:highlight w:val="none"/>
        </w:rPr>
        <w:t>流转交易服务费应由乙方于签订本合同</w:t>
      </w:r>
      <w:r>
        <w:rPr>
          <w:rFonts w:hint="eastAsia" w:ascii="宋体" w:hAnsi="宋体" w:eastAsia="宋体" w:cs="宋体"/>
          <w:b w:val="0"/>
          <w:bCs w:val="0"/>
          <w:color w:val="auto"/>
          <w:sz w:val="28"/>
          <w:szCs w:val="28"/>
          <w:highlight w:val="none"/>
          <w:lang w:eastAsia="zh-CN"/>
        </w:rPr>
        <w:t xml:space="preserve"> </w:t>
      </w:r>
      <w:r>
        <w:rPr>
          <w:rFonts w:hint="eastAsia" w:ascii="宋体" w:hAnsi="宋体" w:eastAsia="宋体" w:cs="宋体"/>
          <w:b w:val="0"/>
          <w:bCs w:val="0"/>
          <w:color w:val="auto"/>
          <w:sz w:val="28"/>
          <w:szCs w:val="28"/>
          <w:highlight w:val="none"/>
          <w:lang w:val="en-US" w:eastAsia="zh-CN"/>
        </w:rPr>
        <w:t xml:space="preserve">5 </w:t>
      </w:r>
      <w:r>
        <w:rPr>
          <w:rFonts w:hint="eastAsia" w:ascii="宋体" w:hAnsi="宋体" w:eastAsia="宋体" w:cs="宋体"/>
          <w:b w:val="0"/>
          <w:bCs w:val="0"/>
          <w:color w:val="auto"/>
          <w:sz w:val="28"/>
          <w:szCs w:val="28"/>
          <w:highlight w:val="none"/>
        </w:rPr>
        <w:t>日</w:t>
      </w:r>
      <w:r>
        <w:rPr>
          <w:rFonts w:hint="eastAsia" w:ascii="宋体" w:hAnsi="宋体" w:eastAsia="宋体" w:cs="宋体"/>
          <w:b w:val="0"/>
          <w:bCs w:val="0"/>
          <w:color w:val="auto"/>
          <w:sz w:val="28"/>
          <w:szCs w:val="28"/>
          <w:highlight w:val="none"/>
          <w:lang w:val="en-US" w:eastAsia="zh-CN"/>
        </w:rPr>
        <w:t>内</w:t>
      </w:r>
      <w:r>
        <w:rPr>
          <w:rFonts w:hint="eastAsia" w:ascii="宋体" w:hAnsi="宋体" w:eastAsia="宋体" w:cs="宋体"/>
          <w:b w:val="0"/>
          <w:bCs w:val="0"/>
          <w:color w:val="auto"/>
          <w:sz w:val="28"/>
          <w:szCs w:val="28"/>
          <w:highlight w:val="none"/>
        </w:rPr>
        <w:t>向</w:t>
      </w:r>
      <w:r>
        <w:rPr>
          <w:rFonts w:hint="eastAsia" w:ascii="宋体" w:hAnsi="宋体" w:cs="宋体"/>
          <w:b w:val="0"/>
          <w:bCs w:val="0"/>
          <w:color w:val="auto"/>
          <w:sz w:val="28"/>
          <w:szCs w:val="28"/>
          <w:highlight w:val="none"/>
          <w:lang w:val="en-US" w:eastAsia="zh-CN"/>
        </w:rPr>
        <w:t>xx农村产权交易中心</w:t>
      </w:r>
      <w:r>
        <w:rPr>
          <w:rFonts w:hint="eastAsia" w:ascii="宋体" w:hAnsi="宋体" w:eastAsia="宋体" w:cs="宋体"/>
          <w:b w:val="0"/>
          <w:bCs w:val="0"/>
          <w:color w:val="auto"/>
          <w:sz w:val="28"/>
          <w:szCs w:val="28"/>
          <w:highlight w:val="none"/>
        </w:rPr>
        <w:t>缴纳，收款信息如下：</w:t>
      </w:r>
    </w:p>
    <w:p>
      <w:pPr>
        <w:numPr>
          <w:ilvl w:val="0"/>
          <w:numId w:val="0"/>
        </w:numPr>
        <w:spacing w:line="360" w:lineRule="auto"/>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（1）现金</w:t>
      </w:r>
    </w:p>
    <w:p>
      <w:pPr>
        <w:numPr>
          <w:ilvl w:val="0"/>
          <w:numId w:val="0"/>
        </w:numPr>
        <w:spacing w:line="36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（2）银行汇款 </w:t>
      </w:r>
    </w:p>
    <w:p>
      <w:pPr>
        <w:numPr>
          <w:ilvl w:val="0"/>
          <w:numId w:val="0"/>
        </w:numPr>
        <w:spacing w:line="360" w:lineRule="auto"/>
        <w:ind w:firstLine="560" w:firstLineChars="200"/>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rPr>
        <w:t>开户行：</w:t>
      </w:r>
      <w:r>
        <w:rPr>
          <w:rFonts w:hint="eastAsia" w:ascii="宋体" w:hAnsi="宋体" w:eastAsia="宋体" w:cs="宋体"/>
          <w:b w:val="0"/>
          <w:bCs w:val="0"/>
          <w:color w:val="auto"/>
          <w:sz w:val="28"/>
          <w:szCs w:val="28"/>
          <w:highlight w:val="none"/>
          <w:u w:val="single"/>
          <w:lang w:val="en-US" w:eastAsia="zh-CN"/>
        </w:rPr>
        <w:t xml:space="preserve">                                      </w:t>
      </w:r>
    </w:p>
    <w:p>
      <w:pPr>
        <w:numPr>
          <w:ilvl w:val="0"/>
          <w:numId w:val="0"/>
        </w:numPr>
        <w:spacing w:line="360" w:lineRule="auto"/>
        <w:ind w:firstLine="560" w:firstLineChars="200"/>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u w:val="none"/>
        </w:rPr>
        <w:t>开户名：</w:t>
      </w:r>
      <w:r>
        <w:rPr>
          <w:rFonts w:hint="eastAsia" w:ascii="宋体" w:hAnsi="宋体" w:eastAsia="宋体" w:cs="宋体"/>
          <w:b w:val="0"/>
          <w:bCs w:val="0"/>
          <w:color w:val="auto"/>
          <w:sz w:val="28"/>
          <w:szCs w:val="28"/>
          <w:highlight w:val="none"/>
          <w:u w:val="single"/>
          <w:lang w:val="en-US" w:eastAsia="zh-CN"/>
        </w:rPr>
        <w:t xml:space="preserve">                                      </w:t>
      </w:r>
    </w:p>
    <w:p>
      <w:pPr>
        <w:numPr>
          <w:ilvl w:val="0"/>
          <w:numId w:val="0"/>
        </w:numPr>
        <w:spacing w:line="360" w:lineRule="auto"/>
        <w:ind w:firstLine="560" w:firstLineChars="200"/>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u w:val="none"/>
        </w:rPr>
        <w:t>银行账号</w:t>
      </w:r>
      <w:r>
        <w:rPr>
          <w:rFonts w:hint="eastAsia" w:ascii="宋体" w:hAnsi="宋体" w:eastAsia="宋体" w:cs="宋体"/>
          <w:b w:val="0"/>
          <w:bCs w:val="0"/>
          <w:color w:val="auto"/>
          <w:sz w:val="28"/>
          <w:szCs w:val="28"/>
          <w:highlight w:val="none"/>
          <w:u w:val="none"/>
          <w:lang w:eastAsia="zh-CN"/>
        </w:rPr>
        <w:t>：</w:t>
      </w:r>
      <w:r>
        <w:rPr>
          <w:rFonts w:hint="eastAsia" w:ascii="宋体" w:hAnsi="宋体" w:eastAsia="宋体" w:cs="宋体"/>
          <w:b w:val="0"/>
          <w:bCs w:val="0"/>
          <w:color w:val="auto"/>
          <w:sz w:val="28"/>
          <w:szCs w:val="28"/>
          <w:highlight w:val="none"/>
          <w:u w:val="single"/>
          <w:lang w:val="en-US" w:eastAsia="zh-CN"/>
        </w:rPr>
        <w:t xml:space="preserve">                                    </w:t>
      </w:r>
    </w:p>
    <w:p>
      <w:pPr>
        <w:numPr>
          <w:ilvl w:val="0"/>
          <w:numId w:val="0"/>
        </w:numPr>
        <w:spacing w:line="36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cs="宋体"/>
          <w:b w:val="0"/>
          <w:bCs w:val="0"/>
          <w:color w:val="auto"/>
          <w:sz w:val="28"/>
          <w:szCs w:val="28"/>
          <w:highlight w:val="none"/>
          <w:lang w:val="en-US" w:eastAsia="zh-CN"/>
        </w:rPr>
        <w:t>xx农村产权交易中心</w:t>
      </w:r>
      <w:r>
        <w:rPr>
          <w:rFonts w:hint="eastAsia" w:ascii="宋体" w:hAnsi="宋体" w:eastAsia="宋体" w:cs="宋体"/>
          <w:b w:val="0"/>
          <w:bCs w:val="0"/>
          <w:color w:val="auto"/>
          <w:sz w:val="28"/>
          <w:szCs w:val="28"/>
          <w:highlight w:val="none"/>
          <w:lang w:val="en-US" w:eastAsia="zh-CN"/>
        </w:rPr>
        <w:t>审核确认收到乙方交来</w:t>
      </w:r>
      <w:r>
        <w:rPr>
          <w:rFonts w:hint="eastAsia" w:ascii="宋体" w:hAnsi="宋体" w:eastAsia="宋体" w:cs="宋体"/>
          <w:b w:val="0"/>
          <w:bCs w:val="0"/>
          <w:color w:val="auto"/>
          <w:sz w:val="28"/>
          <w:szCs w:val="28"/>
          <w:highlight w:val="none"/>
        </w:rPr>
        <w:t>本</w:t>
      </w:r>
      <w:r>
        <w:rPr>
          <w:rFonts w:hint="eastAsia" w:ascii="宋体" w:hAnsi="宋体" w:eastAsia="宋体" w:cs="宋体"/>
          <w:b w:val="0"/>
          <w:bCs w:val="0"/>
          <w:color w:val="auto"/>
          <w:sz w:val="28"/>
          <w:szCs w:val="28"/>
          <w:highlight w:val="none"/>
          <w:lang w:val="en-US" w:eastAsia="zh-CN"/>
        </w:rPr>
        <w:t>合同</w:t>
      </w:r>
      <w:r>
        <w:rPr>
          <w:rFonts w:hint="eastAsia" w:ascii="宋体" w:hAnsi="宋体" w:eastAsia="宋体" w:cs="宋体"/>
          <w:b w:val="0"/>
          <w:bCs w:val="0"/>
          <w:color w:val="auto"/>
          <w:sz w:val="28"/>
          <w:szCs w:val="28"/>
          <w:highlight w:val="none"/>
        </w:rPr>
        <w:t>标的</w:t>
      </w:r>
      <w:r>
        <w:rPr>
          <w:rFonts w:hint="eastAsia" w:ascii="Times New Roman" w:hAnsi="Times New Roman"/>
          <w:color w:val="auto"/>
          <w:sz w:val="28"/>
          <w:szCs w:val="28"/>
          <w:highlight w:val="none"/>
        </w:rPr>
        <w:t>流转价款</w:t>
      </w:r>
      <w:r>
        <w:rPr>
          <w:rFonts w:hint="eastAsia" w:ascii="宋体" w:hAnsi="宋体" w:eastAsia="宋体" w:cs="宋体"/>
          <w:b w:val="0"/>
          <w:bCs w:val="0"/>
          <w:color w:val="auto"/>
          <w:sz w:val="28"/>
          <w:szCs w:val="28"/>
          <w:highlight w:val="none"/>
          <w:lang w:val="en-US" w:eastAsia="zh-CN"/>
        </w:rPr>
        <w:t>、履约金保证金、</w:t>
      </w:r>
      <w:r>
        <w:rPr>
          <w:rFonts w:hint="eastAsia" w:ascii="宋体" w:hAnsi="宋体" w:eastAsia="宋体" w:cs="宋体"/>
          <w:b w:val="0"/>
          <w:bCs w:val="0"/>
          <w:color w:val="auto"/>
          <w:sz w:val="28"/>
          <w:szCs w:val="28"/>
          <w:highlight w:val="none"/>
        </w:rPr>
        <w:t>流转交易服务费后</w:t>
      </w:r>
      <w:r>
        <w:rPr>
          <w:rFonts w:hint="eastAsia" w:ascii="宋体" w:hAnsi="宋体" w:eastAsia="宋体" w:cs="宋体"/>
          <w:b w:val="0"/>
          <w:bCs w:val="0"/>
          <w:color w:val="auto"/>
          <w:sz w:val="28"/>
          <w:szCs w:val="28"/>
          <w:highlight w:val="none"/>
          <w:u w:val="single"/>
          <w:lang w:val="en-US" w:eastAsia="zh-CN"/>
        </w:rPr>
        <w:t xml:space="preserve"> 5 </w:t>
      </w:r>
      <w:r>
        <w:rPr>
          <w:rFonts w:hint="eastAsia" w:ascii="宋体" w:hAnsi="宋体" w:eastAsia="宋体" w:cs="宋体"/>
          <w:b w:val="0"/>
          <w:bCs w:val="0"/>
          <w:color w:val="auto"/>
          <w:sz w:val="28"/>
          <w:szCs w:val="28"/>
          <w:highlight w:val="none"/>
          <w:lang w:val="en-US" w:eastAsia="zh-CN"/>
        </w:rPr>
        <w:t>日内将标的租金</w:t>
      </w:r>
      <w:r>
        <w:rPr>
          <w:rFonts w:hint="eastAsia" w:ascii="宋体" w:hAnsi="宋体" w:eastAsia="宋体" w:cs="宋体"/>
          <w:b w:val="0"/>
          <w:bCs w:val="0"/>
          <w:color w:val="auto"/>
          <w:sz w:val="28"/>
          <w:szCs w:val="28"/>
          <w:highlight w:val="none"/>
        </w:rPr>
        <w:t>支付</w:t>
      </w:r>
      <w:r>
        <w:rPr>
          <w:rFonts w:hint="eastAsia" w:ascii="宋体" w:hAnsi="宋体" w:eastAsia="宋体" w:cs="宋体"/>
          <w:b w:val="0"/>
          <w:bCs w:val="0"/>
          <w:color w:val="auto"/>
          <w:sz w:val="28"/>
          <w:szCs w:val="28"/>
          <w:highlight w:val="none"/>
          <w:lang w:val="en-US" w:eastAsia="zh-CN"/>
        </w:rPr>
        <w:t>到</w:t>
      </w:r>
      <w:r>
        <w:rPr>
          <w:rFonts w:hint="eastAsia" w:ascii="宋体" w:hAnsi="宋体" w:eastAsia="宋体" w:cs="宋体"/>
          <w:b w:val="0"/>
          <w:bCs w:val="0"/>
          <w:color w:val="auto"/>
          <w:sz w:val="28"/>
          <w:szCs w:val="28"/>
          <w:highlight w:val="none"/>
        </w:rPr>
        <w:t>甲方</w:t>
      </w:r>
      <w:r>
        <w:rPr>
          <w:rFonts w:hint="eastAsia" w:ascii="宋体" w:hAnsi="宋体" w:eastAsia="宋体" w:cs="宋体"/>
          <w:b w:val="0"/>
          <w:bCs w:val="0"/>
          <w:color w:val="auto"/>
          <w:sz w:val="28"/>
          <w:szCs w:val="28"/>
          <w:highlight w:val="none"/>
          <w:lang w:val="en-US" w:eastAsia="zh-CN"/>
        </w:rPr>
        <w:t>账户</w:t>
      </w:r>
      <w:r>
        <w:rPr>
          <w:rFonts w:hint="eastAsia" w:ascii="宋体" w:hAnsi="宋体" w:eastAsia="宋体" w:cs="宋体"/>
          <w:b w:val="0"/>
          <w:bCs w:val="0"/>
          <w:color w:val="auto"/>
          <w:sz w:val="28"/>
          <w:szCs w:val="28"/>
          <w:highlight w:val="none"/>
        </w:rPr>
        <w:t>。</w:t>
      </w:r>
    </w:p>
    <w:p>
      <w:pPr>
        <w:numPr>
          <w:ilvl w:val="0"/>
          <w:numId w:val="0"/>
        </w:numPr>
        <w:spacing w:line="360" w:lineRule="auto"/>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2.甲</w:t>
      </w:r>
      <w:r>
        <w:rPr>
          <w:rFonts w:hint="eastAsia" w:ascii="宋体" w:hAnsi="宋体" w:eastAsia="宋体" w:cs="宋体"/>
          <w:b w:val="0"/>
          <w:bCs w:val="0"/>
          <w:color w:val="auto"/>
          <w:sz w:val="28"/>
          <w:szCs w:val="28"/>
          <w:highlight w:val="none"/>
        </w:rPr>
        <w:t>乙</w:t>
      </w:r>
      <w:r>
        <w:rPr>
          <w:rFonts w:hint="eastAsia" w:ascii="宋体" w:hAnsi="宋体" w:eastAsia="宋体" w:cs="宋体"/>
          <w:b w:val="0"/>
          <w:bCs w:val="0"/>
          <w:color w:val="auto"/>
          <w:sz w:val="28"/>
          <w:szCs w:val="28"/>
          <w:highlight w:val="none"/>
          <w:lang w:val="en-US" w:eastAsia="zh-CN"/>
        </w:rPr>
        <w:t>双方直接结算</w:t>
      </w:r>
    </w:p>
    <w:p>
      <w:pPr>
        <w:numPr>
          <w:ilvl w:val="0"/>
          <w:numId w:val="0"/>
        </w:numPr>
        <w:spacing w:line="360" w:lineRule="auto"/>
        <w:ind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（1）现金</w:t>
      </w:r>
    </w:p>
    <w:p>
      <w:pPr>
        <w:numPr>
          <w:ilvl w:val="0"/>
          <w:numId w:val="0"/>
        </w:numPr>
        <w:spacing w:line="360" w:lineRule="auto"/>
        <w:ind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lang w:val="en-US" w:eastAsia="zh-CN"/>
        </w:rPr>
        <w:t xml:space="preserve">（1）银行汇款 </w:t>
      </w:r>
    </w:p>
    <w:p>
      <w:pPr>
        <w:numPr>
          <w:ilvl w:val="0"/>
          <w:numId w:val="0"/>
        </w:numPr>
        <w:spacing w:line="360" w:lineRule="auto"/>
        <w:ind w:firstLine="560" w:firstLineChars="200"/>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u w:val="none"/>
        </w:rPr>
        <w:t>开户行：</w:t>
      </w:r>
      <w:r>
        <w:rPr>
          <w:rFonts w:hint="eastAsia" w:ascii="宋体" w:hAnsi="宋体" w:eastAsia="宋体" w:cs="宋体"/>
          <w:b w:val="0"/>
          <w:bCs w:val="0"/>
          <w:color w:val="auto"/>
          <w:sz w:val="28"/>
          <w:szCs w:val="28"/>
          <w:highlight w:val="none"/>
          <w:u w:val="single"/>
          <w:lang w:val="en-US" w:eastAsia="zh-CN"/>
        </w:rPr>
        <w:t xml:space="preserve">                                      </w:t>
      </w:r>
    </w:p>
    <w:p>
      <w:pPr>
        <w:numPr>
          <w:ilvl w:val="0"/>
          <w:numId w:val="0"/>
        </w:numPr>
        <w:spacing w:line="360" w:lineRule="auto"/>
        <w:ind w:firstLine="560" w:firstLineChars="200"/>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u w:val="none"/>
        </w:rPr>
        <w:t>开户名：</w:t>
      </w:r>
      <w:r>
        <w:rPr>
          <w:rFonts w:hint="eastAsia" w:ascii="宋体" w:hAnsi="宋体" w:eastAsia="宋体" w:cs="宋体"/>
          <w:b w:val="0"/>
          <w:bCs w:val="0"/>
          <w:color w:val="auto"/>
          <w:sz w:val="28"/>
          <w:szCs w:val="28"/>
          <w:highlight w:val="none"/>
          <w:u w:val="single"/>
          <w:lang w:val="en-US" w:eastAsia="zh-CN"/>
        </w:rPr>
        <w:t xml:space="preserve">                                      </w:t>
      </w:r>
    </w:p>
    <w:p>
      <w:pPr>
        <w:numPr>
          <w:ilvl w:val="0"/>
          <w:numId w:val="0"/>
        </w:numPr>
        <w:spacing w:line="360" w:lineRule="auto"/>
        <w:ind w:firstLine="560" w:firstLineChars="200"/>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u w:val="none"/>
        </w:rPr>
        <w:t>银行账号</w:t>
      </w:r>
      <w:r>
        <w:rPr>
          <w:rFonts w:hint="eastAsia" w:ascii="宋体" w:hAnsi="宋体" w:eastAsia="宋体" w:cs="宋体"/>
          <w:b w:val="0"/>
          <w:bCs w:val="0"/>
          <w:color w:val="auto"/>
          <w:sz w:val="28"/>
          <w:szCs w:val="28"/>
          <w:highlight w:val="none"/>
          <w:u w:val="none"/>
          <w:lang w:eastAsia="zh-CN"/>
        </w:rPr>
        <w:t>：</w:t>
      </w:r>
      <w:r>
        <w:rPr>
          <w:rFonts w:hint="eastAsia" w:ascii="宋体" w:hAnsi="宋体" w:eastAsia="宋体" w:cs="宋体"/>
          <w:b w:val="0"/>
          <w:bCs w:val="0"/>
          <w:color w:val="auto"/>
          <w:sz w:val="28"/>
          <w:szCs w:val="28"/>
          <w:highlight w:val="none"/>
          <w:u w:val="single"/>
          <w:lang w:val="en-US" w:eastAsia="zh-CN"/>
        </w:rPr>
        <w:t xml:space="preserve">                                     </w:t>
      </w:r>
    </w:p>
    <w:p>
      <w:pPr>
        <w:pStyle w:val="3"/>
        <w:numPr>
          <w:ilvl w:val="0"/>
          <w:numId w:val="0"/>
        </w:numPr>
        <w:ind w:firstLine="560" w:firstLineChars="200"/>
        <w:rPr>
          <w:color w:val="auto"/>
          <w:highlight w:val="none"/>
        </w:rPr>
      </w:pPr>
      <w:r>
        <w:rPr>
          <w:rFonts w:hint="eastAsia" w:ascii="宋体" w:hAnsi="宋体" w:eastAsia="宋体" w:cs="宋体"/>
          <w:b w:val="0"/>
          <w:bCs w:val="0"/>
          <w:color w:val="auto"/>
          <w:sz w:val="28"/>
          <w:szCs w:val="28"/>
          <w:highlight w:val="none"/>
          <w:u w:val="none"/>
          <w:lang w:val="en-US" w:eastAsia="zh-CN"/>
        </w:rPr>
        <w:t>3.其他：</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none"/>
          <w:lang w:val="en-US" w:eastAsia="zh-CN"/>
        </w:rPr>
        <w:t>。</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四、甲方的权利和义务</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（一）所提供的林地林木权属应当清晰、合法。如在流转后发现原转出的林地林木存在权属纠纷或经济纠纷的，应当负责处理并承担相应责任。</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（二）提供所流转林权的权属证书、原转出方合法的集体决议记录或与集体经济组织签订的承包合同、流转经营合同等证明材料。</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（三）有权依法获得流转收益，有权要求乙方按合同约定缴交林权流转价款。</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（四）有权监督乙方依照本合同约定的用途合理利用和保护林地，但不得干涉和破坏乙方生产经营活动。</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（五）协助乙方做好护林防火和林区治安管理工作；协助乙方申办林地林木权属登记或变更登记、林木采伐手续，有关费用由乙方承担。</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（六）有权在流转期届满后收回林权。</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五、乙方的权利和义务</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（一）依法享有流入林权使用、收益的权利，有权依法自主组织生产经营和处置产品。</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（二）按时支付流转价款。</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（三）享有林木所有权的，应当依法按规定办理林木采伐手续，不得非法砍伐林木。</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（四）做好造林和抚育工作，林木采伐后应当于采伐当年或者次年内完成采伐迹地造林更新，并保护好生态环境和水资源，不得闲置抛荒。</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（五）依法履行森林防火、林业有害生物防治等森林资源保护责任，保护野生动植物资源。</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（六）严格按照国家和本地林业管理规定开发利用，不得擅自改变林地用途和受保护的公益林、天然林性质，不得破坏林地和林业综合生产能力。</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（七）可依规定凭所流入林权向政府部门或社会组织申请有关项目补助及评优示范。</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六、合同的变更、解除和终止</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一）合同有效期内，因不可抗力因素致使本合同全部不能履行时，本合同自动终止，甲方将合同终止日至流转到期日的期限内已收取的林权流转款退还给乙方；致使合同部分不能履行的，其他部分继续履行，流转价款作相应调整。</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（二）合同有效期内，如该流转林地林木被依法征占用或划定为受保护的公益林或天然林， 双方有权依法按规定各自获得相应的补偿和补助。</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（三）合同期满、终止或解除后，原由乙方修建的道路、灌溉等设施，处置方式为</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；乙方修建的房屋及其他可拆卸设施，处置方式为</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（四）其他：</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 xml:space="preserve">  七、违约责任</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（一）双方商定违约金为</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，任何一方违约致使本合同不能履行，须向另一方支付违约金。因违约给对方造成损失的，违约方应承担赔偿责任。</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（二）甲方流出林权手续不合法或因权属不清产生纠纷，致使本合同全部或部分条款不能履行，甲方应承担违约责任。</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（三）甲方应按时向乙方交付流转的林地林木，每逾期        日应向乙方支付已付款项的</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‰作为违约金；逾期        日的，乙方有权解除合同，甲方承担违约责任。</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（四）甲方违反本合同约定擅自干涉或破坏乙方生产经营</w:t>
      </w:r>
      <w:r>
        <w:rPr>
          <w:rFonts w:hint="eastAsia" w:ascii="Times New Roman" w:hAnsi="Times New Roman"/>
          <w:color w:val="auto"/>
          <w:sz w:val="28"/>
          <w:szCs w:val="28"/>
          <w:highlight w:val="none"/>
          <w:u w:val="single"/>
        </w:rPr>
        <w:tab/>
      </w:r>
      <w:r>
        <w:rPr>
          <w:rFonts w:hint="eastAsia" w:ascii="Times New Roman" w:hAnsi="Times New Roman"/>
          <w:color w:val="auto"/>
          <w:sz w:val="28"/>
          <w:szCs w:val="28"/>
          <w:highlight w:val="none"/>
        </w:rPr>
        <w:t>, 致使乙方生产经营活动受影响的，乙方有权单方解除合同，甲方应承担违约责任。</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（五）乙方应按时足额向甲方支付流转价款，每逾期</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日，应向甲方支付当期应付流转价款的</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‰作为违约金；逾期</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日的，甲方有权单方解除合同，乙方应承担违约责任。</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（六）乙方未在合同约定期限内履行造林绿化更新责任的，甲方有权无偿收回未造林绿化的林地，并有权获得相应损失赔偿。</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（七）乙方给流转林地林木造成永久性损害、擅自改变林地用途或者造成森林资源严重破坏的，经县级以上林业主管部门确认后，甲方有权单方解除合同、收回流转林权并要求乙方赔偿损失。</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八、合同争议解决方式</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因本合同的订立、效力、履行、变更及终止等发生争议时，甲乙双方应当协商解决，也可请求村民委员会、乡（镇）人民政府等调解。协商或调解不成的，约定采用如下方式解决：</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）提请当地农村土地仲裁机构仲裁；</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）向有权管辖的人民法院提起诉讼。</w:t>
      </w:r>
    </w:p>
    <w:p>
      <w:pPr>
        <w:shd w:val="clear" w:color="auto" w:fill="auto"/>
        <w:spacing w:line="360" w:lineRule="auto"/>
        <w:rPr>
          <w:rFonts w:ascii="Times New Roman" w:hAnsi="Times New Roman"/>
          <w:color w:val="auto"/>
          <w:sz w:val="28"/>
          <w:szCs w:val="28"/>
          <w:highlight w:val="none"/>
        </w:rPr>
      </w:pPr>
      <w:r>
        <w:rPr>
          <w:rFonts w:hint="eastAsia" w:ascii="Times New Roman" w:hAnsi="Times New Roman"/>
          <w:color w:val="auto"/>
          <w:sz w:val="28"/>
          <w:szCs w:val="28"/>
          <w:highlight w:val="none"/>
        </w:rPr>
        <w:t>九、附则</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（一）本合同未尽事宜，经甲乙双方协商一致后可签订补充协议。补充协议与本合同具有同等法律效力。</w:t>
      </w:r>
    </w:p>
    <w:p>
      <w:pPr>
        <w:shd w:val="clear" w:color="auto" w:fill="auto"/>
        <w:spacing w:line="360" w:lineRule="auto"/>
        <w:ind w:firstLine="560" w:firstLineChars="200"/>
        <w:rPr>
          <w:rFonts w:ascii="Times New Roman" w:hAnsi="Times New Roman"/>
          <w:color w:val="auto"/>
          <w:sz w:val="28"/>
          <w:szCs w:val="28"/>
          <w:highlight w:val="none"/>
        </w:rPr>
      </w:pPr>
      <w:r>
        <w:rPr>
          <w:rFonts w:hint="eastAsia" w:ascii="Times New Roman" w:hAnsi="Times New Roman"/>
          <w:color w:val="auto"/>
          <w:sz w:val="28"/>
          <w:szCs w:val="28"/>
          <w:highlight w:val="none"/>
        </w:rPr>
        <w:t>（二）本合同自甲乙双方签字盖章（手指印）起生效。本合同一式</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份，由甲方、乙方、地方乡镇政府、</w:t>
      </w:r>
      <w:r>
        <w:rPr>
          <w:rFonts w:hint="eastAsia" w:ascii="Times New Roman" w:hAnsi="Times New Roman"/>
          <w:color w:val="auto"/>
          <w:sz w:val="28"/>
          <w:szCs w:val="28"/>
          <w:highlight w:val="none"/>
          <w:lang w:val="en-US" w:eastAsia="zh-CN"/>
        </w:rPr>
        <w:t>xx农村产权交易中心</w:t>
      </w:r>
      <w:r>
        <w:rPr>
          <w:rFonts w:hint="eastAsia" w:ascii="Times New Roman" w:hAnsi="Times New Roman"/>
          <w:color w:val="auto"/>
          <w:sz w:val="28"/>
          <w:szCs w:val="28"/>
          <w:highlight w:val="none"/>
        </w:rPr>
        <w:t>、</w:t>
      </w:r>
      <w:r>
        <w:rPr>
          <w:rFonts w:hint="eastAsia" w:ascii="Times New Roman" w:hAnsi="Times New Roman"/>
          <w:color w:val="auto"/>
          <w:sz w:val="28"/>
          <w:szCs w:val="28"/>
          <w:highlight w:val="none"/>
          <w:u w:val="single"/>
        </w:rPr>
        <w:t xml:space="preserve">       </w:t>
      </w:r>
      <w:r>
        <w:rPr>
          <w:rFonts w:hint="eastAsia" w:ascii="Times New Roman" w:hAnsi="Times New Roman"/>
          <w:color w:val="auto"/>
          <w:sz w:val="28"/>
          <w:szCs w:val="28"/>
          <w:highlight w:val="none"/>
        </w:rPr>
        <w:t>各执壹份。</w:t>
      </w:r>
    </w:p>
    <w:p>
      <w:pPr>
        <w:shd w:val="clear" w:color="auto" w:fill="auto"/>
        <w:spacing w:line="360" w:lineRule="auto"/>
        <w:rPr>
          <w:rFonts w:ascii="Times New Roman" w:hAnsi="Times New Roman"/>
          <w:color w:val="auto"/>
          <w:sz w:val="28"/>
          <w:szCs w:val="28"/>
          <w:highlight w:val="none"/>
        </w:rPr>
      </w:pPr>
    </w:p>
    <w:p>
      <w:pPr>
        <w:pStyle w:val="3"/>
        <w:rPr>
          <w:rFonts w:ascii="Times New Roman" w:hAnsi="Times New Roman"/>
          <w:color w:val="auto"/>
          <w:sz w:val="28"/>
          <w:szCs w:val="28"/>
          <w:highlight w:val="none"/>
        </w:rPr>
      </w:pPr>
    </w:p>
    <w:p>
      <w:pPr>
        <w:pStyle w:val="3"/>
        <w:rPr>
          <w:rFonts w:ascii="Times New Roman" w:hAnsi="Times New Roman"/>
          <w:color w:val="auto"/>
          <w:sz w:val="28"/>
          <w:szCs w:val="28"/>
          <w:highlight w:val="none"/>
        </w:rPr>
      </w:pPr>
    </w:p>
    <w:p>
      <w:pPr>
        <w:pStyle w:val="3"/>
        <w:rPr>
          <w:rFonts w:ascii="Times New Roman" w:hAnsi="Times New Roman"/>
          <w:color w:val="auto"/>
          <w:sz w:val="28"/>
          <w:szCs w:val="28"/>
          <w:highlight w:val="none"/>
        </w:rPr>
      </w:pPr>
    </w:p>
    <w:p>
      <w:pPr>
        <w:pStyle w:val="4"/>
        <w:shd w:val="clear" w:color="auto" w:fill="auto"/>
        <w:ind w:left="0" w:leftChars="0" w:firstLine="0" w:firstLineChars="0"/>
        <w:rPr>
          <w:rFonts w:hint="eastAsia"/>
          <w:color w:val="auto"/>
          <w:highlight w:val="none"/>
        </w:rPr>
      </w:pPr>
    </w:p>
    <w:p>
      <w:pPr>
        <w:shd w:val="clear" w:color="auto" w:fill="auto"/>
        <w:spacing w:line="360" w:lineRule="auto"/>
        <w:ind w:firstLine="0" w:firstLineChars="0"/>
        <w:rPr>
          <w:rFonts w:hint="eastAsia" w:ascii="Times New Roman" w:hAnsi="Times New Roman" w:eastAsia="宋体" w:cs="Times New Roman"/>
          <w:color w:val="auto"/>
          <w:sz w:val="28"/>
          <w:szCs w:val="28"/>
          <w:highlight w:val="none"/>
          <w:lang w:val="zh-TW"/>
        </w:rPr>
      </w:pPr>
      <w:r>
        <w:rPr>
          <w:rFonts w:hint="eastAsia" w:ascii="Times New Roman" w:hAnsi="Times New Roman" w:eastAsia="宋体" w:cs="Times New Roman"/>
          <w:color w:val="auto"/>
          <w:sz w:val="28"/>
          <w:szCs w:val="28"/>
          <w:highlight w:val="none"/>
          <w:lang w:val="zh-TW" w:eastAsia="zh-TW"/>
        </w:rPr>
        <w:t>甲方（签字</w:t>
      </w:r>
      <w:r>
        <w:rPr>
          <w:rFonts w:hint="eastAsia" w:ascii="Times New Roman" w:hAnsi="Times New Roman" w:eastAsia="宋体" w:cs="Times New Roman"/>
          <w:color w:val="auto"/>
          <w:sz w:val="28"/>
          <w:szCs w:val="28"/>
          <w:highlight w:val="none"/>
        </w:rPr>
        <w:t>并</w:t>
      </w:r>
      <w:r>
        <w:rPr>
          <w:rFonts w:hint="eastAsia" w:ascii="Times New Roman" w:hAnsi="Times New Roman" w:eastAsia="宋体" w:cs="Times New Roman"/>
          <w:color w:val="auto"/>
          <w:sz w:val="28"/>
          <w:szCs w:val="28"/>
          <w:highlight w:val="none"/>
          <w:lang w:val="zh-TW" w:eastAsia="zh-TW"/>
        </w:rPr>
        <w:t xml:space="preserve">盖章）：      </w:t>
      </w:r>
      <w:r>
        <w:rPr>
          <w:rFonts w:hint="eastAsia"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val="zh-TW" w:eastAsia="zh-TW"/>
        </w:rPr>
        <w:t xml:space="preserve">  </w:t>
      </w:r>
      <w:r>
        <w:rPr>
          <w:rFonts w:hint="eastAsia"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val="zh-TW"/>
        </w:rPr>
        <w:t>年</w:t>
      </w:r>
      <w:r>
        <w:rPr>
          <w:rFonts w:hint="eastAsia"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val="zh-TW"/>
        </w:rPr>
        <w:t>月</w:t>
      </w:r>
      <w:r>
        <w:rPr>
          <w:rFonts w:hint="eastAsia"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val="zh-TW"/>
        </w:rPr>
        <w:t>日</w:t>
      </w:r>
    </w:p>
    <w:tbl>
      <w:tblPr>
        <w:tblStyle w:val="5"/>
        <w:tblW w:w="8824" w:type="dxa"/>
        <w:jc w:val="center"/>
        <w:tblLayout w:type="fixed"/>
        <w:tblCellMar>
          <w:top w:w="0" w:type="dxa"/>
          <w:left w:w="108" w:type="dxa"/>
          <w:bottom w:w="0" w:type="dxa"/>
          <w:right w:w="108" w:type="dxa"/>
        </w:tblCellMar>
      </w:tblPr>
      <w:tblGrid>
        <w:gridCol w:w="2419"/>
        <w:gridCol w:w="2592"/>
        <w:gridCol w:w="1295"/>
        <w:gridCol w:w="2518"/>
      </w:tblGrid>
      <w:tr>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pPr>
        <w:shd w:val="clear" w:color="auto" w:fill="auto"/>
        <w:spacing w:line="360" w:lineRule="auto"/>
        <w:ind w:firstLine="0" w:firstLineChars="0"/>
        <w:rPr>
          <w:rFonts w:hint="eastAsia" w:ascii="Times New Roman" w:hAnsi="Times New Roman" w:eastAsia="宋体" w:cs="Times New Roman"/>
          <w:color w:val="auto"/>
          <w:sz w:val="28"/>
          <w:szCs w:val="28"/>
          <w:highlight w:val="none"/>
          <w:lang w:val="zh-TW" w:eastAsia="zh-TW"/>
        </w:rPr>
      </w:pPr>
      <w:r>
        <w:rPr>
          <w:rFonts w:hint="eastAsia" w:ascii="Times New Roman" w:hAnsi="Times New Roman"/>
          <w:color w:val="auto"/>
          <w:sz w:val="28"/>
          <w:szCs w:val="28"/>
          <w:highlight w:val="none"/>
        </w:rPr>
        <w:t>乙方</w:t>
      </w:r>
      <w:r>
        <w:rPr>
          <w:rFonts w:hint="eastAsia" w:ascii="Times New Roman" w:hAnsi="Times New Roman" w:eastAsia="宋体" w:cs="Times New Roman"/>
          <w:color w:val="auto"/>
          <w:sz w:val="28"/>
          <w:szCs w:val="28"/>
          <w:highlight w:val="none"/>
          <w:lang w:val="zh-TW" w:eastAsia="zh-TW"/>
        </w:rPr>
        <w:t>（签字</w:t>
      </w:r>
      <w:r>
        <w:rPr>
          <w:rFonts w:hint="eastAsia" w:ascii="Times New Roman" w:hAnsi="Times New Roman" w:eastAsia="宋体" w:cs="Times New Roman"/>
          <w:color w:val="auto"/>
          <w:sz w:val="28"/>
          <w:szCs w:val="28"/>
          <w:highlight w:val="none"/>
        </w:rPr>
        <w:t>并</w:t>
      </w:r>
      <w:r>
        <w:rPr>
          <w:rFonts w:hint="eastAsia" w:ascii="Times New Roman" w:hAnsi="Times New Roman" w:eastAsia="宋体" w:cs="Times New Roman"/>
          <w:color w:val="auto"/>
          <w:sz w:val="28"/>
          <w:szCs w:val="28"/>
          <w:highlight w:val="none"/>
          <w:lang w:val="zh-TW" w:eastAsia="zh-TW"/>
        </w:rPr>
        <w:t xml:space="preserve">盖章）：      </w:t>
      </w:r>
      <w:r>
        <w:rPr>
          <w:rFonts w:hint="eastAsia"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val="zh-TW" w:eastAsia="zh-TW"/>
        </w:rPr>
        <w:t xml:space="preserve">  </w:t>
      </w:r>
      <w:r>
        <w:rPr>
          <w:rFonts w:hint="eastAsia"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val="zh-TW"/>
        </w:rPr>
        <w:t>年</w:t>
      </w:r>
      <w:r>
        <w:rPr>
          <w:rFonts w:hint="eastAsia"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val="zh-TW"/>
        </w:rPr>
        <w:t>月</w:t>
      </w:r>
      <w:r>
        <w:rPr>
          <w:rFonts w:hint="eastAsia"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val="zh-TW"/>
        </w:rPr>
        <w:t>日</w:t>
      </w:r>
    </w:p>
    <w:tbl>
      <w:tblPr>
        <w:tblStyle w:val="5"/>
        <w:tblW w:w="8824" w:type="dxa"/>
        <w:jc w:val="center"/>
        <w:tblLayout w:type="fixed"/>
        <w:tblCellMar>
          <w:top w:w="0" w:type="dxa"/>
          <w:left w:w="108" w:type="dxa"/>
          <w:bottom w:w="0" w:type="dxa"/>
          <w:right w:w="108" w:type="dxa"/>
        </w:tblCellMar>
      </w:tblPr>
      <w:tblGrid>
        <w:gridCol w:w="2432"/>
        <w:gridCol w:w="2579"/>
        <w:gridCol w:w="1308"/>
        <w:gridCol w:w="2505"/>
      </w:tblGrid>
      <w:tr>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lang w:val="zh-TW" w:eastAsia="zh-TW"/>
        </w:rPr>
        <w:t>乡镇</w:t>
      </w:r>
      <w:r>
        <w:rPr>
          <w:rFonts w:hint="eastAsia" w:ascii="宋体" w:hAnsi="宋体" w:cs="宋体"/>
          <w:b/>
          <w:bCs/>
          <w:color w:val="auto"/>
          <w:sz w:val="24"/>
          <w:szCs w:val="24"/>
          <w:highlight w:val="none"/>
          <w:lang w:val="en-US" w:eastAsia="zh-CN"/>
        </w:rPr>
        <w:t>人民</w:t>
      </w: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pPr>
        <w:spacing w:line="560" w:lineRule="exact"/>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pPr>
        <w:spacing w:line="560" w:lineRule="exact"/>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pPr>
        <w:spacing w:line="560" w:lineRule="exact"/>
        <w:rPr>
          <w:rFonts w:hint="eastAsia" w:ascii="宋体" w:hAnsi="宋体" w:eastAsia="宋体" w:cs="宋体"/>
          <w:color w:val="auto"/>
          <w:sz w:val="24"/>
          <w:szCs w:val="24"/>
          <w:highlight w:val="none"/>
          <w:lang w:val="zh-TW" w:eastAsia="zh-TW"/>
        </w:rPr>
      </w:pPr>
    </w:p>
    <w:p>
      <w:pPr>
        <w:spacing w:line="560" w:lineRule="exact"/>
        <w:rPr>
          <w:rFonts w:hint="eastAsia" w:ascii="宋体" w:hAnsi="宋体" w:eastAsia="宋体" w:cs="宋体"/>
          <w:color w:val="auto"/>
          <w:sz w:val="24"/>
          <w:szCs w:val="24"/>
          <w:highlight w:val="none"/>
          <w:u w:val="single"/>
          <w:lang w:val="zh-TW" w:eastAsia="zh-TW"/>
        </w:rPr>
      </w:pPr>
      <w:r>
        <w:rPr>
          <w:rFonts w:hint="eastAsia" w:ascii="宋体" w:hAnsi="宋体" w:eastAsia="宋体" w:cs="宋体"/>
          <w:color w:val="auto"/>
          <w:sz w:val="24"/>
          <w:szCs w:val="24"/>
          <w:highlight w:val="none"/>
          <w:lang w:val="zh-TW" w:eastAsia="zh-TW"/>
        </w:rPr>
        <w:t>鉴 证 方（盖章）：</w:t>
      </w:r>
      <w:r>
        <w:rPr>
          <w:rFonts w:hint="eastAsia" w:ascii="宋体" w:hAnsi="宋体" w:cs="宋体"/>
          <w:color w:val="auto"/>
          <w:sz w:val="24"/>
          <w:szCs w:val="24"/>
          <w:highlight w:val="none"/>
          <w:u w:val="single"/>
          <w:lang w:val="zh-TW" w:eastAsia="zh-CN"/>
        </w:rPr>
        <w:t>xx农村产权交易中心</w:t>
      </w:r>
      <w:r>
        <w:rPr>
          <w:rFonts w:hint="eastAsia" w:ascii="宋体" w:hAnsi="宋体" w:eastAsia="宋体" w:cs="宋体"/>
          <w:color w:val="auto"/>
          <w:sz w:val="24"/>
          <w:szCs w:val="24"/>
          <w:highlight w:val="none"/>
          <w:u w:val="single"/>
          <w:lang w:val="zh-TW" w:eastAsia="zh-TW"/>
        </w:rPr>
        <w:t xml:space="preserve">    </w:t>
      </w:r>
    </w:p>
    <w:p>
      <w:pPr>
        <w:spacing w:line="560" w:lineRule="exact"/>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　　址：</w:t>
      </w:r>
      <w:r>
        <w:rPr>
          <w:rFonts w:hint="eastAsia" w:ascii="宋体" w:hAnsi="宋体" w:eastAsia="宋体" w:cs="宋体"/>
          <w:color w:val="auto"/>
          <w:sz w:val="24"/>
          <w:szCs w:val="24"/>
          <w:highlight w:val="none"/>
          <w:u w:val="single"/>
          <w:lang w:val="zh-TW" w:eastAsia="zh-TW"/>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TW" w:eastAsia="zh-TW"/>
        </w:rPr>
        <w:t xml:space="preserve">   </w:t>
      </w:r>
      <w:r>
        <w:rPr>
          <w:rFonts w:hint="eastAsia" w:ascii="宋体" w:hAnsi="宋体" w:eastAsia="宋体" w:cs="宋体"/>
          <w:color w:val="auto"/>
          <w:sz w:val="24"/>
          <w:szCs w:val="24"/>
          <w:highlight w:val="none"/>
          <w:lang w:val="zh-TW" w:eastAsia="zh-TW"/>
        </w:rPr>
        <w:t xml:space="preserve">    </w:t>
      </w:r>
    </w:p>
    <w:p>
      <w:pPr>
        <w:spacing w:line="560" w:lineRule="exact"/>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eastAsia="zh-TW"/>
        </w:rPr>
        <w:t>鉴证日期：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CB4EF0"/>
    <w:multiLevelType w:val="singleLevel"/>
    <w:tmpl w:val="EECB4EF0"/>
    <w:lvl w:ilvl="0" w:tentative="0">
      <w:start w:val="4"/>
      <w:numFmt w:val="chineseCounting"/>
      <w:suff w:val="nothing"/>
      <w:lvlText w:val="%1、"/>
      <w:lvlJc w:val="left"/>
      <w:rPr>
        <w:rFonts w:hint="eastAsia"/>
      </w:rPr>
    </w:lvl>
  </w:abstractNum>
  <w:abstractNum w:abstractNumId="1">
    <w:nsid w:val="6DE9E7D3"/>
    <w:multiLevelType w:val="singleLevel"/>
    <w:tmpl w:val="6DE9E7D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09B7271A"/>
    <w:rsid w:val="09B72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6">
    <w:name w:val="Default Paragraph Font"/>
    <w:autoRedefine/>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paragraph" w:styleId="4">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2024-04-21T02:47:00Z</dcterms:created>
  <dc:creator>莫海莹</dc:creator>
  <cp:lastModifiedBy>莫海莹</cp:lastModifiedBy>
  <dcterms:modified xsi:type="dcterms:W3CDTF">2024-04-21T02:49:57Z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D1767CB3E7174D6ABC28809E54D06736_11</vt:lpwstr>
  </property>
</Properties>
</file>