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公爱综合体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single"/>
          <w:lang w:val="en-US" w:eastAsia="zh-CN"/>
        </w:rPr>
        <w:t>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公爱综合体项目</w:t>
      </w:r>
      <w:r>
        <w:rPr>
          <w:rFonts w:hint="eastAsia" w:ascii="仿宋_GB2312" w:hAnsi="仿宋_GB2312" w:eastAsia="仿宋_GB2312" w:cs="仿宋_GB2312"/>
          <w:sz w:val="32"/>
          <w:szCs w:val="32"/>
          <w:lang w:val="en-US" w:eastAsia="zh-CN"/>
        </w:rPr>
        <w:t>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公爱综合体项目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整栋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建筑面积为</w:t>
      </w:r>
      <w:r>
        <w:rPr>
          <w:rFonts w:hint="eastAsia" w:ascii="仿宋_GB2312" w:hAnsi="仿宋_GB2312" w:eastAsia="仿宋_GB2312" w:cs="仿宋_GB2312"/>
          <w:sz w:val="32"/>
          <w:szCs w:val="32"/>
          <w:u w:val="single"/>
          <w:lang w:val="en-US" w:eastAsia="zh-CN"/>
        </w:rPr>
        <w:t xml:space="preserve"> 4528.85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参与农村产权交易竞拍时缴纳的相关保证金可转为押金</w:t>
      </w:r>
      <w:r>
        <w:rPr>
          <w:rFonts w:hint="eastAsia" w:ascii="仿宋_GB2312" w:hAnsi="仿宋_GB2312" w:eastAsia="仿宋_GB2312" w:cs="仿宋_GB2312"/>
          <w:spacing w:val="-9"/>
          <w:sz w:val="32"/>
          <w:szCs w:val="32"/>
          <w:highlight w:val="none"/>
          <w:lang w:val="en-US" w:eastAsia="zh-CN"/>
        </w:rPr>
        <w:t>，多退少补，押金为：</w:t>
      </w:r>
      <w:r>
        <w:rPr>
          <w:rFonts w:hint="eastAsia" w:ascii="仿宋_GB2312" w:hAnsi="仿宋_GB2312" w:eastAsia="仿宋_GB2312" w:cs="仿宋_GB2312"/>
          <w:spacing w:val="-9"/>
          <w:sz w:val="32"/>
          <w:szCs w:val="32"/>
          <w:highlight w:val="none"/>
          <w:u w:val="single"/>
          <w:lang w:val="en-US" w:eastAsia="zh-CN"/>
        </w:rPr>
        <w:t xml:space="preserve">  100000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拾万元整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租金如下：</w:t>
      </w:r>
    </w:p>
    <w:p w14:paraId="6746DD1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eastAsia="zh-CN"/>
        </w:rPr>
        <w:t>）；</w:t>
      </w:r>
    </w:p>
    <w:p w14:paraId="647C38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p>
    <w:p w14:paraId="0CBC6A8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078DB8F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w:t>
      </w:r>
      <w:r>
        <w:rPr>
          <w:rFonts w:hint="eastAsia" w:ascii="仿宋_GB2312" w:hAnsi="仿宋_GB2312" w:eastAsia="仿宋_GB2312" w:cs="仿宋_GB2312"/>
          <w:spacing w:val="-4"/>
          <w:sz w:val="32"/>
          <w:szCs w:val="32"/>
          <w:lang w:val="en-US" w:eastAsia="zh-CN"/>
        </w:rPr>
        <w:t>四</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5D64704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w:t>
      </w:r>
      <w:r>
        <w:rPr>
          <w:rFonts w:hint="eastAsia" w:ascii="仿宋_GB2312" w:hAnsi="仿宋_GB2312" w:eastAsia="仿宋_GB2312" w:cs="仿宋_GB2312"/>
          <w:spacing w:val="-4"/>
          <w:sz w:val="32"/>
          <w:szCs w:val="32"/>
          <w:lang w:val="en-US" w:eastAsia="zh-CN"/>
        </w:rPr>
        <w:t>五</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3ECE937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w:t>
      </w:r>
      <w:r>
        <w:rPr>
          <w:rFonts w:hint="eastAsia" w:ascii="仿宋_GB2312" w:hAnsi="仿宋_GB2312" w:eastAsia="仿宋_GB2312" w:cs="仿宋_GB2312"/>
          <w:spacing w:val="-9"/>
          <w:sz w:val="32"/>
          <w:szCs w:val="32"/>
          <w:highlight w:val="none"/>
          <w:lang w:val="en-US" w:eastAsia="zh-CN"/>
        </w:rPr>
        <w:t>若因法律法规或政府规范性文件直接导致租金成本显著变化的（如房产税调整），双方可协商调整租金；协商不成的，按评估机构定价执行。</w:t>
      </w:r>
    </w:p>
    <w:p w14:paraId="2CBBC9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（一）甲方应于本合同约定的租赁期开始之日起，乙方据实缴纳租金后，将房屋交付给乙方,并</w:t>
      </w:r>
      <w:r>
        <w:rPr>
          <w:rFonts w:hint="eastAsia" w:ascii="仿宋_GB2312" w:hAnsi="仿宋_GB2312" w:eastAsia="仿宋_GB2312" w:cs="仿宋_GB2312"/>
          <w:spacing w:val="-9"/>
          <w:sz w:val="32"/>
          <w:szCs w:val="32"/>
          <w:highlight w:val="none"/>
          <w:lang w:val="en-US" w:eastAsia="zh-CN"/>
        </w:rPr>
        <w:t>签署《交付确认书》。</w:t>
      </w:r>
    </w:p>
    <w:p w14:paraId="348F8D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2"/>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（六）租赁期间，关于防火安全、门前三包、综合治理及安全保卫等工作，乙方应当执行当地有关部门的规定并承担全部责任，甲方有监督检查的权力。</w:t>
      </w:r>
    </w:p>
    <w:p w14:paraId="42FFCF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1.租赁房屋发生的水电费（甲方或甲方委托的物业管理公司有权定期检查乙方独立水电表的读数并抄表计费，用电管理费（电费＋服务费）、燃气费、物业管理费、收视费、互联网费等；</w:t>
      </w:r>
    </w:p>
    <w:p w14:paraId="3F903D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2.其他与房屋使用相关的税金或费用。</w:t>
      </w:r>
    </w:p>
    <w:p w14:paraId="50CFF3C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6"/>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w:t>
      </w:r>
      <w:r>
        <w:rPr>
          <w:rFonts w:hint="eastAsia" w:ascii="仿宋_GB2312" w:hAnsi="仿宋_GB2312" w:eastAsia="仿宋_GB2312" w:cs="仿宋_GB2312"/>
          <w:sz w:val="32"/>
          <w:szCs w:val="32"/>
          <w:u w:val="none"/>
          <w:lang w:val="en-US" w:eastAsia="zh-CN"/>
        </w:rPr>
        <w:t>公爱</w:t>
      </w:r>
      <w:r>
        <w:rPr>
          <w:rFonts w:hint="default" w:ascii="仿宋_GB2312" w:hAnsi="仿宋_GB2312" w:eastAsia="仿宋_GB2312" w:cs="仿宋_GB2312"/>
          <w:sz w:val="32"/>
          <w:szCs w:val="32"/>
          <w:u w:val="none"/>
          <w:lang w:val="en-US" w:eastAsia="zh-CN"/>
        </w:rPr>
        <w:t>综合体项目出租协议》（下称“租赁合同”），现双方就租赁房屋的交付事宜确认如下：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4A16D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位置：</w:t>
      </w:r>
      <w:r>
        <w:rPr>
          <w:rFonts w:hint="eastAsia" w:ascii="仿宋_GB2312" w:hAnsi="仿宋_GB2312" w:eastAsia="仿宋_GB2312" w:cs="仿宋_GB2312"/>
          <w:sz w:val="32"/>
          <w:szCs w:val="32"/>
          <w:u w:val="none"/>
          <w:lang w:val="en-US" w:eastAsia="zh-CN"/>
        </w:rPr>
        <w:t>公爱</w:t>
      </w:r>
      <w:r>
        <w:rPr>
          <w:rFonts w:hint="default" w:ascii="仿宋_GB2312" w:hAnsi="仿宋_GB2312" w:eastAsia="仿宋_GB2312" w:cs="仿宋_GB2312"/>
          <w:sz w:val="32"/>
          <w:szCs w:val="32"/>
          <w:u w:val="none"/>
          <w:lang w:val="en-US" w:eastAsia="zh-CN"/>
        </w:rPr>
        <w:t>综合体项目</w:t>
      </w:r>
      <w:r>
        <w:rPr>
          <w:rFonts w:hint="eastAsia" w:ascii="仿宋_GB2312" w:hAnsi="仿宋_GB2312" w:eastAsia="仿宋_GB2312" w:cs="仿宋_GB2312"/>
          <w:sz w:val="32"/>
          <w:szCs w:val="32"/>
          <w:u w:val="none"/>
          <w:lang w:val="en-US" w:eastAsia="zh-CN"/>
        </w:rPr>
        <w:t>整栋</w:t>
      </w:r>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4528.85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甲方已向乙方交付商铺钥匙共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head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38A5973C-58AF-46FD-9BFF-CBDB2CEB8D3A}"/>
  </w:font>
  <w:font w:name="仿宋_GB2312">
    <w:panose1 w:val="02010609030101010101"/>
    <w:charset w:val="86"/>
    <w:family w:val="auto"/>
    <w:pitch w:val="default"/>
    <w:sig w:usb0="00000001" w:usb1="080E0000" w:usb2="00000000" w:usb3="00000000" w:csb0="00040000" w:csb1="00000000"/>
    <w:embedRegular r:id="rId2" w:fontKey="{E6ABC9B9-9D07-4F5A-AC29-793208123C5D}"/>
  </w:font>
  <w:font w:name="方正黑体简体">
    <w:panose1 w:val="02000000000000000000"/>
    <w:charset w:val="86"/>
    <w:family w:val="auto"/>
    <w:pitch w:val="default"/>
    <w:sig w:usb0="A00002BF" w:usb1="184F6CFA" w:usb2="00000012" w:usb3="00000000" w:csb0="00040001" w:csb1="00000000"/>
    <w:embedRegular r:id="rId3" w:fontKey="{CBD984BE-9FD0-4972-97FF-0290ACE07BDB}"/>
  </w:font>
  <w:font w:name="WPSEMBED1">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094B6">
    <w:pPr>
      <w:pStyle w:val="5"/>
    </w:pPr>
    <w:r>
      <w:rPr>
        <w:sz w:val="18"/>
      </w:rPr>
      <w:pict>
        <v:shape id="PowerPlusWaterMarkObject180795" o:spid="_x0000_s4097" o:spt="136" type="#_x0000_t136" style="position:absolute;left:0pt;height:25.45pt;width:599.9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仅用于东方市天安乡公爱综合体4528.85㎡整栋挂网出租使用严禁复制"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22767BD"/>
    <w:rsid w:val="03B31109"/>
    <w:rsid w:val="04830120"/>
    <w:rsid w:val="059E3F28"/>
    <w:rsid w:val="085D5AE7"/>
    <w:rsid w:val="0D4B4892"/>
    <w:rsid w:val="0E531DA2"/>
    <w:rsid w:val="0E87566C"/>
    <w:rsid w:val="0EB36461"/>
    <w:rsid w:val="0F397854"/>
    <w:rsid w:val="16BE76CA"/>
    <w:rsid w:val="1A3B51D3"/>
    <w:rsid w:val="1CE02FD2"/>
    <w:rsid w:val="1E684494"/>
    <w:rsid w:val="1EFA3129"/>
    <w:rsid w:val="201C12BD"/>
    <w:rsid w:val="20617E42"/>
    <w:rsid w:val="222039B6"/>
    <w:rsid w:val="25396B3D"/>
    <w:rsid w:val="25C44177"/>
    <w:rsid w:val="2AFE1FAE"/>
    <w:rsid w:val="314F3970"/>
    <w:rsid w:val="336F02F9"/>
    <w:rsid w:val="34C12DD7"/>
    <w:rsid w:val="389E2778"/>
    <w:rsid w:val="396273C0"/>
    <w:rsid w:val="3E0F2309"/>
    <w:rsid w:val="41344AE9"/>
    <w:rsid w:val="41441021"/>
    <w:rsid w:val="41B6575B"/>
    <w:rsid w:val="512A116B"/>
    <w:rsid w:val="534A7FE3"/>
    <w:rsid w:val="56A93588"/>
    <w:rsid w:val="58712EA8"/>
    <w:rsid w:val="5C8D0E01"/>
    <w:rsid w:val="65420B1A"/>
    <w:rsid w:val="67FA47BA"/>
    <w:rsid w:val="6A1A34D6"/>
    <w:rsid w:val="6E0B0643"/>
    <w:rsid w:val="706D3827"/>
    <w:rsid w:val="73C970C4"/>
    <w:rsid w:val="79103F0E"/>
    <w:rsid w:val="7EF1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6"/>
      <w:szCs w:val="36"/>
      <w:lang w:val="en-US" w:eastAsia="en-US" w:bidi="ar-SA"/>
    </w:rPr>
  </w:style>
  <w:style w:type="paragraph" w:styleId="3">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4161</Words>
  <Characters>4252</Characters>
  <Lines>0</Lines>
  <Paragraphs>0</Paragraphs>
  <TotalTime>45</TotalTime>
  <ScaleCrop>false</ScaleCrop>
  <LinksUpToDate>false</LinksUpToDate>
  <CharactersWithSpaces>4758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香水湾1號文小蝶18289697995</cp:lastModifiedBy>
  <dcterms:modified xsi:type="dcterms:W3CDTF">2026-02-06T08:23:03Z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1BBAB3F1F398407B97E7ABA8C46E73CD_13</vt:lpwstr>
  </property>
  <property fmtid="{D5CDD505-2E9C-101B-9397-08002B2CF9AE}" pid="4" name="KSOTemplateDocerSaveRecord">
    <vt:lpwstr>eyJoZGlkIjoiZjNkMzU1OTE0ZDc2NmQwMzQ3NGY5YmE0ZTg2NWM2ZWEiLCJ1c2VySWQiOiIxMTU5NDczNTczIn0=</vt:lpwstr>
  </property>
</Properties>
</file>