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7035">
      <w:pPr>
        <w:spacing w:before="480" w:after="48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52"/>
        </w:rPr>
        <w:t>台风季节应急保供蔬菜（屯昌）基地合作协议</w:t>
      </w:r>
    </w:p>
    <w:p w14:paraId="596EF05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甲方：屯昌县农业发展有限公司</w:t>
      </w:r>
    </w:p>
    <w:p w14:paraId="3933B38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592592D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54BB9C8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35FBA46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 w14:paraId="7F5B6B1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合作社登记证号：</w:t>
      </w:r>
    </w:p>
    <w:p w14:paraId="54E964A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2B0FF65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37954FB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鉴于甲方拥有海南省台风季节应急保供蔬菜基地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种植大棚的合法使用权，乙方具备蔬菜种植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规范化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标准化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的专业能力及资源，为保障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屯昌县</w:t>
      </w:r>
      <w:r>
        <w:rPr>
          <w:rFonts w:hint="eastAsia" w:ascii="仿宋_GB2312" w:hAnsi="仿宋_GB2312" w:eastAsia="仿宋_GB2312" w:cs="仿宋_GB2312"/>
          <w:sz w:val="32"/>
          <w:szCs w:val="32"/>
        </w:rPr>
        <w:t>台风季节蔬菜应急保供，提升基地经济效益，双方本着平等自愿、互利共赢的原则，经友好协商，达成如下合作协议，以资共同遵守。</w:t>
      </w:r>
    </w:p>
    <w:p w14:paraId="6D0AA942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一、合作宗旨</w:t>
      </w:r>
      <w:bookmarkEnd w:id="0"/>
    </w:p>
    <w:p w14:paraId="657F4FE1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平台资源整合和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场地资源优势与乙方种植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技术及管理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运营优势，通过合作运营海南省台风季节应急保供蔬菜基地，确保台风季屯昌县蔬菜应急保供需求，同时依托市场化运作提升基地经济效益，实现双方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可持续发展。</w:t>
      </w:r>
    </w:p>
    <w:p w14:paraId="57E3508B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32"/>
          <w:szCs w:val="32"/>
        </w:rPr>
        <w:t>二、合作内容</w:t>
      </w:r>
      <w:bookmarkEnd w:id="1"/>
    </w:p>
    <w:p w14:paraId="7CE72A1F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（一）合作标的</w:t>
      </w:r>
      <w:bookmarkEnd w:id="2"/>
    </w:p>
    <w:p w14:paraId="183544B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甲方提供其合法拥有的海南省台风季节应急保供蔬菜基地73亩种植大棚（以下简称“合作场地”）作为合作标的，该场地坐落于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屯昌县枫木镇《海南省台风季节应急保供蔬菜（屯昌）基地》地块一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，大棚结构及配套设施以双方现场确认的《合作场地交接清单》（附件一）为准。</w:t>
      </w:r>
    </w:p>
    <w:p w14:paraId="37300EB1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（二）合作方式</w:t>
      </w:r>
      <w:bookmarkEnd w:id="3"/>
    </w:p>
    <w:p w14:paraId="1A2C215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甲方负责提供合作场地，确保场地及大棚设施符合蔬菜种植基本要求；乙方负责投入生产种植所需的种子、肥料、农药、农机具、劳动力等全部生产资料，承担合作期间的管理运营工作。</w:t>
      </w:r>
    </w:p>
    <w:p w14:paraId="14B395D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乙方按本协议约定向甲方支付固定分红，自主承担种植运营过程中的全部成本与风险，享有市场化运作部分的经营收益（应急保供期间按甲方要求执行，收益按相关约定处理）。</w:t>
      </w:r>
    </w:p>
    <w:p w14:paraId="64A3AA6C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三、合作期限</w:t>
      </w:r>
      <w:bookmarkEnd w:id="4"/>
    </w:p>
    <w:p w14:paraId="330166C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本协议合作期限为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年，自双方签字盖章之日起计算。协议期满前30日，若双方均有续约意向，可另行协商签订续约协议；若一方无续约意向，应提前30日书面通知对方，做好合作终止后的交接工作。</w:t>
      </w:r>
    </w:p>
    <w:p w14:paraId="5C85408F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四、固定分红及支付方式</w:t>
      </w:r>
      <w:bookmarkEnd w:id="5"/>
    </w:p>
    <w:p w14:paraId="70F59B9A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（一）分红标准</w:t>
      </w:r>
      <w:bookmarkEnd w:id="6"/>
    </w:p>
    <w:p w14:paraId="35EEEAE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本协议合作期间，乙方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每年按2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00元/亩的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标准向甲方支付固定分红，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亩场地每年固定分红总额为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元（大写：人民币壹拾陆万柒仟玖佰元整）。</w:t>
      </w:r>
    </w:p>
    <w:p w14:paraId="2C0C503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分红递增方式：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乙方向甲方支付的固定分红</w:t>
      </w:r>
      <w:r>
        <w:rPr>
          <w:rFonts w:hint="eastAsia" w:ascii="仿宋_GB2312" w:hAnsi="仿宋_GB2312" w:eastAsia="仿宋_GB2312" w:cs="仿宋_GB2312"/>
          <w:sz w:val="32"/>
          <w:szCs w:val="32"/>
        </w:rPr>
        <w:t>每两年在原有分红标准的基础上递增5%。具体递增节点为：协议签订后第3个年度起，按递增后标准执行；第5个年度起，在前一次递增标准的基础上再次递增5%。</w:t>
      </w:r>
    </w:p>
    <w:p w14:paraId="35EEB673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（二）支付时间及方式</w:t>
      </w:r>
      <w:bookmarkEnd w:id="7"/>
    </w:p>
    <w:p w14:paraId="6B07E19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支付时间：自本协议签订的第二个月起，乙方于每年的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前向甲方支付当年度的固定分红。</w:t>
      </w:r>
    </w:p>
    <w:p w14:paraId="66761AF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支付方式：乙方通过银行转账方式支付至甲方以下指定账户，甲方收到款项后3个工作日内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开具收款凭证。</w:t>
      </w:r>
    </w:p>
    <w:p w14:paraId="6D6F57F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</w:p>
    <w:p w14:paraId="742AC5B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账户名称：屯昌县农业发展有限公司</w:t>
      </w:r>
    </w:p>
    <w:p w14:paraId="07C1993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</w:p>
    <w:p w14:paraId="30CF6F7E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32"/>
          <w:szCs w:val="32"/>
        </w:rPr>
        <w:t>五、双方权利与义务</w:t>
      </w:r>
      <w:bookmarkEnd w:id="8"/>
    </w:p>
    <w:p w14:paraId="55AF2C93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（一）甲方权利与义务</w:t>
      </w:r>
      <w:bookmarkEnd w:id="9"/>
    </w:p>
    <w:p w14:paraId="58282A3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6757D47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（1）按照协议约定收取固定分红；</w:t>
      </w:r>
    </w:p>
    <w:p w14:paraId="572009F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（2）监督乙方对合作场地的使用情况及大棚设施的维护情况；</w:t>
      </w:r>
    </w:p>
    <w:p w14:paraId="7524902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（3）在台风季及应急保供期间，向乙方下达生产计划并监督执行；</w:t>
      </w:r>
    </w:p>
    <w:p w14:paraId="472DBA0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（4）若乙方违反本协议约定，有权要求乙方整改、承担违约责任，直至解除协议。</w:t>
      </w:r>
    </w:p>
    <w:p w14:paraId="3DC28DB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4FC9075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（1）保证合作场地的合法使用权，确保乙方能正常使用；</w:t>
      </w:r>
    </w:p>
    <w:p w14:paraId="2D700A7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）协助乙方办理合作期间所需的相关行政手续（如种植备案、农产品检测等），费用由乙方承担；</w:t>
      </w:r>
    </w:p>
    <w:p w14:paraId="012627F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）不得干预乙方非台风季的市场化运营活动，法律法规另有规定或本协议另有约定的除外；</w:t>
      </w:r>
    </w:p>
    <w:p w14:paraId="23783FDA">
      <w:pPr>
        <w:spacing w:before="300" w:after="120" w:line="288" w:lineRule="auto"/>
        <w:ind w:left="0" w:firstLine="643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heading_10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（二）乙方权利与义务</w:t>
      </w:r>
      <w:bookmarkEnd w:id="10"/>
    </w:p>
    <w:p w14:paraId="157CC1D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4B7BF067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（1）在协议约定范围内自主使用合作场地及大棚设施；</w:t>
      </w:r>
    </w:p>
    <w:p w14:paraId="630042A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（2）非台风季自主决定种植品种、种植规模，享有市场化运营的收益权；</w:t>
      </w:r>
    </w:p>
    <w:p w14:paraId="2CD6E99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）若甲方未按协议约定提供合作场地或干扰乙方正常运营，有权要求甲方承担违约责任。</w:t>
      </w:r>
    </w:p>
    <w:p w14:paraId="092EDE2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32BB997E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（1）按时足额向甲方支付固定分红；</w:t>
      </w:r>
    </w:p>
    <w:p w14:paraId="32EDA93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（2）负责合作期间大棚设施的日常维护、维修及保养，确保设施完好，协议终止时按《合作场地交接清单》标准交还甲方（自然损耗除外）；</w:t>
      </w:r>
    </w:p>
    <w:p w14:paraId="518C4B4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（3）严格遵守农业种植相关法律法规，规范使用种子、肥料、农药等生产资料，确保农产品质量安全，承担因农产品质量问题引发的全部责任；</w:t>
      </w:r>
    </w:p>
    <w:p w14:paraId="04585F6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（4）台风季（8月-11月）严格按照甲方下达的生产计划种植“15+N”保供蔬菜品种，保证种植面积、产量及采收时间符合甲方要求；</w:t>
      </w:r>
    </w:p>
    <w:p w14:paraId="65D6314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（5）当本地启动应急保供机制时，无条件配合甲方执行应急保供任务，优先保障县内蔬菜供应，服从甲方的统一调配；</w:t>
      </w:r>
    </w:p>
    <w:p w14:paraId="1E37151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（6）建立完善的种植、管理及销售台账，接受甲方的合理监督检查；</w:t>
      </w:r>
    </w:p>
    <w:p w14:paraId="36D565C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（7）承担合作期间的水电费、人工费、生产资料费、农产品检测费等全部运营成本及相关风险；</w:t>
      </w:r>
    </w:p>
    <w:p w14:paraId="451A57A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（8）不得擅自转租、转让合作场地或改变大棚用途，如需进行重大设施改造，需提前书面征得甲方同意。</w:t>
      </w:r>
    </w:p>
    <w:p w14:paraId="52E17188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heading_11"/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六、台风季及应急保供特别约定</w:t>
      </w:r>
      <w:bookmarkEnd w:id="11"/>
    </w:p>
    <w:p w14:paraId="736F274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台风季生产计划：甲方应于每年7月31日前向乙方下达当年台风季（8月-11月）的“15+N”保供蔬菜种植计划，明确种植品种、各品种种植面积、预计产量、采收时间及交付要求等，乙方应在收到计划后5个工作日内确认并执行。</w:t>
      </w:r>
    </w:p>
    <w:p w14:paraId="4389537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保供责任：乙方应保障台风季保供蔬菜的产量达标，若因乙方管理不善、未按计划种植等原因导致保供蔬菜产量不足，乙方需承担补足责任或按不足部分的市场价值向甲方支付违约金。</w:t>
      </w:r>
    </w:p>
    <w:p w14:paraId="6ECE1DA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保供执行：当屯昌县启动应急保供机制时，甲方以书面或正式通知方式告知乙方，乙方需立即暂停非保供蔬菜的采收销售，优先组织保供蔬菜的采收、包装及配送，按甲方指定的数量、时间及地点交付，保障县内应急供应。应急保供期间的蔬菜收购价格按屯昌县应急保供相关规定执行。</w:t>
      </w:r>
    </w:p>
    <w:p w14:paraId="79D90A61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heading_12"/>
      <w:r>
        <w:rPr>
          <w:rFonts w:hint="eastAsia" w:ascii="仿宋_GB2312" w:hAnsi="仿宋_GB2312" w:eastAsia="仿宋_GB2312" w:cs="仿宋_GB2312"/>
          <w:b/>
          <w:sz w:val="32"/>
          <w:szCs w:val="32"/>
        </w:rPr>
        <w:t>七、违约责任</w:t>
      </w:r>
      <w:bookmarkEnd w:id="12"/>
    </w:p>
    <w:p w14:paraId="4D5FABE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若乙方逾期支付固定分红，每逾期一日，应按应付未付金额的0.05%向甲方支付违约金；逾期超过30日的，甲方有权单方解除协议，要求乙方支付拖欠的分红及违约金，并可要求乙方赔偿因此造成的损失。</w:t>
      </w:r>
    </w:p>
    <w:p w14:paraId="068963F4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未按台风季生产计划种植“15+N”保供蔬菜或应急保供期间不配合甲方工作，甲方有权要求乙方限期整改，整改期间乙方仍需按协议支付分红；若整改后仍未达标，甲方有权扣除当年部分或全部分红（扣除比例根据违约情节确定），情节严重的，甲方可单方解除协议并要求乙方赔偿损失。</w:t>
      </w:r>
    </w:p>
    <w:p w14:paraId="530D0B2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若乙方擅自转租、转让合作场地、改变大棚用途或损坏大棚设施且未及时修复，甲方有权要求乙方恢复原状、赔偿损失，并可单方解除协议，乙方需支付当年分红的20%作为违约金。</w:t>
      </w:r>
    </w:p>
    <w:p w14:paraId="53217D7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若甲方提供的合作场地存在权利瑕疵导致乙方无法正常使用，或干预乙方非台风季市场化运营，甲方应赔偿乙方因此造成的实际损失，乙方有权暂停支付分红直至问题解决。</w:t>
      </w:r>
    </w:p>
    <w:p w14:paraId="22748652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因一方违约导致协议解除的，违约方应赔偿守约方的全部直接损失及预期可得利益损失（以协议正常履行情况下的收益为计算依据）。</w:t>
      </w:r>
    </w:p>
    <w:p w14:paraId="4FA557B0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heading_13"/>
      <w:r>
        <w:rPr>
          <w:rFonts w:hint="eastAsia" w:ascii="仿宋_GB2312" w:hAnsi="仿宋_GB2312" w:eastAsia="仿宋_GB2312" w:cs="仿宋_GB2312"/>
          <w:b/>
          <w:sz w:val="32"/>
          <w:szCs w:val="32"/>
        </w:rPr>
        <w:t>八、不可抗力</w:t>
      </w:r>
      <w:bookmarkEnd w:id="13"/>
    </w:p>
    <w:p w14:paraId="720A8BF1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地震、台风、洪水、干旱等不可抗力因素导致双方无法履行协议义务的，受影响一方应在不可抗力发生后24小时内书面通知对方，并在7日内提供相关证明文件。双方应根据不可抗力的影响程度，协商决定部分履行、延期履行或解除协议，由此造成的损失，双方互不承担违约责任。但乙方因不可抗力导致无法支付分红的，应在不可抗力影响消除后15日内补足支付；导致无法完成保供任务的，应及时书面告知甲方，双方协商调整保供计划。</w:t>
      </w:r>
    </w:p>
    <w:p w14:paraId="63FF1968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4" w:name="heading_14"/>
      <w:r>
        <w:rPr>
          <w:rFonts w:hint="eastAsia" w:ascii="仿宋_GB2312" w:hAnsi="仿宋_GB2312" w:eastAsia="仿宋_GB2312" w:cs="仿宋_GB2312"/>
          <w:b/>
          <w:sz w:val="32"/>
          <w:szCs w:val="32"/>
        </w:rPr>
        <w:t>九、争议解决方式</w:t>
      </w:r>
      <w:bookmarkEnd w:id="14"/>
    </w:p>
    <w:p w14:paraId="497F466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本协议履行过程中发生的争议，双方应首先通过友好协商解决；协商不成的，任何一方均有权向合作场地所在地有管辖权的人民法院提起诉讼。</w:t>
      </w:r>
    </w:p>
    <w:p w14:paraId="43321A25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heading_15"/>
      <w:r>
        <w:rPr>
          <w:rFonts w:hint="eastAsia" w:ascii="仿宋_GB2312" w:hAnsi="仿宋_GB2312" w:eastAsia="仿宋_GB2312" w:cs="仿宋_GB2312"/>
          <w:b/>
          <w:sz w:val="32"/>
          <w:szCs w:val="32"/>
        </w:rPr>
        <w:t>十、其他约定</w:t>
      </w:r>
      <w:bookmarkEnd w:id="15"/>
    </w:p>
    <w:p w14:paraId="7650753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1.本协议未尽事宜，双方可另行签订补充协议，补充协议与本协议具有同等法律效力。</w:t>
      </w:r>
    </w:p>
    <w:p w14:paraId="52C4497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2.本协议附件《合作场地交接清单》《台风季“15+N”保供蔬菜品种清单》为本协议不可分割的组成部分，与本协议具有同等法律效力。</w:t>
      </w:r>
    </w:p>
    <w:p w14:paraId="2BDB95E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3.本协议自双方法定代表人或授权代表签字并加盖公章之日起生效。</w:t>
      </w:r>
    </w:p>
    <w:p w14:paraId="10153CE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4.本协议一式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份，乙方执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份，具有同等法律效力。</w:t>
      </w:r>
    </w:p>
    <w:p w14:paraId="779A2A9A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（以下无正文，为签署页）</w:t>
      </w:r>
    </w:p>
    <w:p w14:paraId="472C3F52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7E6573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1"/>
      </w:tblGrid>
      <w:tr w14:paraId="005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8" w:hRule="atLeast"/>
        </w:trPr>
        <w:tc>
          <w:tcPr>
            <w:tcW w:w="4260" w:type="dxa"/>
          </w:tcPr>
          <w:p w14:paraId="5E5E7D8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甲方：屯昌县农业发展有限公司（盖章）</w:t>
            </w:r>
          </w:p>
          <w:p w14:paraId="081484E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08092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法定代表人（签字）：</w:t>
            </w:r>
          </w:p>
          <w:p w14:paraId="24D41656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6AC4D28">
            <w:pPr>
              <w:spacing w:before="120" w:after="120" w:line="288" w:lineRule="auto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日期：   年   月   日</w:t>
            </w:r>
          </w:p>
        </w:tc>
        <w:tc>
          <w:tcPr>
            <w:tcW w:w="4261" w:type="dxa"/>
          </w:tcPr>
          <w:p w14:paraId="12A6F81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 w14:paraId="11BE4D62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806A6EC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8EFE4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法定代表人（签字）：</w:t>
            </w:r>
          </w:p>
          <w:p w14:paraId="423B0AE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2AA6A0E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日期：   年   月   日</w:t>
            </w:r>
          </w:p>
        </w:tc>
      </w:tr>
    </w:tbl>
    <w:p w14:paraId="6F9579F4">
      <w:pPr>
        <w:spacing w:before="120" w:after="120" w:line="288" w:lineRule="auto"/>
        <w:ind w:lef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4B1E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附件一：《合作场地交接清单》</w:t>
      </w:r>
    </w:p>
    <w:p w14:paraId="591CE67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附件二：《台风季“15+N”保供蔬菜品种清单》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FC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46B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44206"/>
    <w:rsid w:val="5BD953B5"/>
    <w:rsid w:val="62953E00"/>
    <w:rsid w:val="6528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3061</Words>
  <Characters>3124</Characters>
  <TotalTime>33</TotalTime>
  <ScaleCrop>false</ScaleCrop>
  <LinksUpToDate>false</LinksUpToDate>
  <CharactersWithSpaces>3152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2025-11-18T07:44:00Z</dcterms:created>
  <dc:creator>Apache POI</dc:creator>
  <cp:lastModifiedBy>叫醒耳朵</cp:lastModifiedBy>
  <cp:lastPrinted>2025-12-11T08:43:00Z</cp:lastPrinted>
  <dcterms:modified xsi:type="dcterms:W3CDTF">2026-02-12T01:51:11Z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eyJoZGlkIjoiMTlkZDU4ZTU5ZWQ4Zjk0OTJiMzg5OTZkYzE3YjZiMTMiLCJ1c2VySWQiOiI5ODE2OTMzOTYifQ==</vt:lpwstr>
  </property>
  <property fmtid="{D5CDD505-2E9C-101B-9397-08002B2CF9AE}" pid="4" name="ICV">
    <vt:lpwstr>81B315BDA84546F684A6C4F7D13FC8A3_12</vt:lpwstr>
  </property>
</Properties>
</file>