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5"/>
        <w:bidi w:val="0"/>
        <w:jc w:val="center"/>
      </w:pPr>
      <w:bookmarkStart w:id="0" w:name="_Toc21422"/>
      <w:bookmarkStart w:id="1" w:name="_Toc21762"/>
      <w:bookmarkStart w:id="2" w:name="_Toc20910"/>
      <w:bookmarkStart w:id="3" w:name="_Toc11918"/>
      <w:bookmarkStart w:id="4" w:name="_Toc32320"/>
      <w:bookmarkStart w:id="5" w:name="_Toc24454"/>
      <w:bookmarkStart w:id="6" w:name="_Toc15737"/>
      <w:bookmarkStart w:id="7" w:name="_Toc29002"/>
      <w:bookmarkStart w:id="8" w:name="_Toc20033"/>
      <w:bookmarkStart w:id="9" w:name="_Toc7615"/>
      <w:bookmarkStart w:id="10" w:name="_Toc24068"/>
      <w:bookmarkStart w:id="11" w:name="_Toc12789"/>
      <w:bookmarkStart w:id="12" w:name="_Toc25712"/>
      <w:bookmarkStart w:id="13" w:name="_Toc13462"/>
      <w:bookmarkStart w:id="14" w:name="_Toc8396"/>
      <w:bookmarkStart w:id="15" w:name="_Toc24727"/>
      <w:r>
        <w:rPr>
          <w:rFonts w:hint="eastAsia"/>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color w:val="C00000"/>
          <w:sz w:val="28"/>
          <w:szCs w:val="28"/>
        </w:rPr>
        <w:t>昌江黎族自治县凯利柏尔花园酒店正对面1738.33㎡产业服务中心（第六层）出租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75000元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bCs/>
                <w:color w:val="C00000"/>
                <w:sz w:val="28"/>
                <w:szCs w:val="28"/>
                <w:u w:val="none"/>
                <w:lang w:val="en-US" w:eastAsia="zh-CN"/>
              </w:rPr>
            </w:pPr>
            <w:r>
              <w:rPr>
                <w:rFonts w:hint="eastAsia" w:ascii="新宋体" w:hAnsi="新宋体" w:eastAsia="新宋体" w:cs="Times New Roman"/>
                <w:b/>
                <w:bCs/>
                <w:color w:val="C00000"/>
                <w:sz w:val="28"/>
                <w:szCs w:val="28"/>
                <w:u w:val="none"/>
                <w:lang w:val="en-US" w:eastAsia="zh-CN"/>
              </w:rPr>
              <w:t>昌江黎族自治县凯利柏尔花园酒店正对面1738.33㎡产业服务中心（第六层）出租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bCs/>
                <w:color w:val="C00000"/>
                <w:sz w:val="28"/>
                <w:szCs w:val="28"/>
                <w:u w:val="none"/>
                <w:lang w:val="en-US" w:eastAsia="zh-CN"/>
              </w:rPr>
            </w:pPr>
          </w:p>
          <w:p w14:paraId="47CFF2F1">
            <w:pPr>
              <w:numPr>
                <w:ilvl w:val="0"/>
                <w:numId w:val="0"/>
              </w:numPr>
              <w:spacing w:line="240" w:lineRule="auto"/>
              <w:ind w:leftChars="0"/>
              <w:jc w:val="center"/>
              <w:rPr>
                <w:rFonts w:hint="default" w:ascii="新宋体" w:hAnsi="新宋体" w:eastAsia="新宋体" w:cs="Times New Roman"/>
                <w:b/>
                <w:bCs/>
                <w:color w:val="C00000"/>
                <w:sz w:val="28"/>
                <w:szCs w:val="28"/>
                <w:u w:val="none"/>
                <w:lang w:val="en-US" w:eastAsia="zh-CN"/>
              </w:rPr>
            </w:pPr>
            <w:r>
              <w:rPr>
                <w:rFonts w:hint="eastAsia" w:ascii="新宋体" w:hAnsi="新宋体" w:eastAsia="新宋体" w:cs="Times New Roman"/>
                <w:b/>
                <w:bCs/>
                <w:color w:val="C00000"/>
                <w:sz w:val="28"/>
                <w:szCs w:val="28"/>
                <w:u w:val="none"/>
                <w:lang w:val="en-US" w:eastAsia="zh-CN"/>
              </w:rPr>
              <w:t>5年</w:t>
            </w:r>
          </w:p>
        </w:tc>
        <w:tc>
          <w:tcPr>
            <w:tcW w:w="2841" w:type="dxa"/>
            <w:vAlign w:val="top"/>
          </w:tcPr>
          <w:p w14:paraId="3F8BB44F">
            <w:pPr>
              <w:numPr>
                <w:ilvl w:val="0"/>
                <w:numId w:val="0"/>
              </w:numPr>
              <w:spacing w:line="240" w:lineRule="auto"/>
              <w:ind w:leftChars="0"/>
              <w:jc w:val="center"/>
              <w:rPr>
                <w:rFonts w:hint="default" w:ascii="新宋体" w:hAnsi="新宋体" w:eastAsia="新宋体" w:cs="Times New Roman"/>
                <w:b/>
                <w:bCs/>
                <w:color w:val="C00000"/>
                <w:sz w:val="28"/>
                <w:szCs w:val="28"/>
                <w:u w:val="none"/>
                <w:lang w:val="en-US" w:eastAsia="zh-CN"/>
              </w:rPr>
            </w:pPr>
          </w:p>
          <w:p w14:paraId="1ED50537">
            <w:pPr>
              <w:numPr>
                <w:ilvl w:val="0"/>
                <w:numId w:val="0"/>
              </w:numPr>
              <w:spacing w:line="240" w:lineRule="auto"/>
              <w:ind w:leftChars="0"/>
              <w:jc w:val="center"/>
              <w:rPr>
                <w:rFonts w:hint="default" w:ascii="新宋体" w:hAnsi="新宋体" w:eastAsia="新宋体" w:cs="Times New Roman"/>
                <w:b/>
                <w:bCs/>
                <w:color w:val="C00000"/>
                <w:sz w:val="28"/>
                <w:szCs w:val="28"/>
                <w:u w:val="none"/>
                <w:lang w:val="en-US" w:eastAsia="zh-CN"/>
              </w:rPr>
            </w:pPr>
            <w:r>
              <w:rPr>
                <w:rFonts w:hint="eastAsia" w:ascii="新宋体" w:hAnsi="新宋体" w:eastAsia="新宋体" w:cs="Times New Roman"/>
                <w:b/>
                <w:bCs/>
                <w:color w:val="C00000"/>
                <w:sz w:val="28"/>
                <w:szCs w:val="28"/>
                <w:u w:val="none"/>
                <w:lang w:val="en-US" w:eastAsia="zh-CN"/>
              </w:rPr>
              <w:t>371724</w:t>
            </w:r>
            <w:r>
              <w:rPr>
                <w:rFonts w:hint="default" w:ascii="新宋体" w:hAnsi="新宋体" w:eastAsia="新宋体" w:cs="Times New Roman"/>
                <w:b/>
                <w:bCs/>
                <w:color w:val="C00000"/>
                <w:sz w:val="28"/>
                <w:szCs w:val="28"/>
                <w:u w:val="no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C00000"/>
          <w:sz w:val="28"/>
          <w:szCs w:val="28"/>
        </w:rPr>
        <w:t>元的整数倍</w:t>
      </w:r>
      <w:r>
        <w:rPr>
          <w:rFonts w:hint="eastAsia" w:ascii="新宋体" w:hAnsi="新宋体" w:eastAsia="新宋体" w:cs="Times New Roman"/>
          <w:sz w:val="28"/>
          <w:szCs w:val="28"/>
        </w:rPr>
        <w:t>（至少</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rPr>
      </w:pPr>
      <w:r>
        <w:rPr>
          <w:rFonts w:hint="eastAsia" w:ascii="Times New Roman" w:hAnsi="Times New Roman"/>
          <w:b/>
          <w:bCs/>
          <w:sz w:val="32"/>
          <w:szCs w:val="32"/>
        </w:rPr>
        <w:t>签字（盖章）确认：</w:t>
      </w:r>
    </w:p>
    <w:p w14:paraId="23B6C5FB">
      <w:pPr>
        <w:spacing w:line="520" w:lineRule="exact"/>
        <w:ind w:firstLine="3213" w:firstLineChars="1000"/>
        <w:rPr>
          <w:rFonts w:ascii="黑体" w:hAnsi="黑体"/>
          <w:b/>
          <w:bCs/>
          <w:color w:val="000000"/>
        </w:rPr>
      </w:pPr>
      <w:r>
        <w:rPr>
          <w:rFonts w:hint="eastAsia" w:ascii="Times New Roman" w:hAnsi="Times New Roman" w:eastAsiaTheme="minorEastAsia" w:cstheme="minorBidi"/>
          <w:b/>
          <w:bCs/>
          <w:kern w:val="2"/>
          <w:sz w:val="32"/>
          <w:szCs w:val="32"/>
          <w:lang w:val="en-US" w:eastAsia="zh-CN" w:bidi="ar-SA"/>
        </w:rPr>
        <w:t>日期：     年     月   日</w:t>
      </w:r>
    </w:p>
    <w:p w14:paraId="2B7F3C6C">
      <w:pPr>
        <w:pStyle w:val="3"/>
        <w:spacing w:line="240" w:lineRule="auto"/>
        <w:jc w:val="both"/>
        <w:rPr>
          <w:rFonts w:ascii="黑体" w:hAnsi="黑体"/>
          <w:b/>
          <w:bCs/>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b/>
          <w:bCs/>
          <w:sz w:val="28"/>
          <w:szCs w:val="28"/>
        </w:rPr>
      </w:pPr>
      <w:r>
        <w:rPr>
          <w:rFonts w:hint="eastAsia" w:ascii="Times New Roman" w:hAnsi="Times New Roman"/>
          <w:b/>
          <w:bCs/>
          <w:sz w:val="28"/>
          <w:szCs w:val="28"/>
          <w:lang w:val="en-US" w:eastAsia="zh-CN"/>
        </w:rPr>
        <w:t>昌江农村产权交易中心</w:t>
      </w:r>
      <w:r>
        <w:rPr>
          <w:rFonts w:hint="eastAsia" w:ascii="Times New Roman" w:hAnsi="Times New Roman"/>
          <w:b/>
          <w:bCs/>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b/>
          <w:bCs/>
          <w:sz w:val="28"/>
          <w:szCs w:val="28"/>
        </w:rPr>
      </w:pPr>
      <w:r>
        <w:rPr>
          <w:rFonts w:hint="eastAsia" w:ascii="Times New Roman" w:hAnsi="Times New Roman"/>
          <w:b/>
          <w:bCs/>
          <w:sz w:val="28"/>
          <w:szCs w:val="28"/>
        </w:rPr>
        <w:t>本竞买方就参与</w:t>
      </w:r>
      <w:r>
        <w:rPr>
          <w:rFonts w:ascii="Times New Roman" w:hAnsi="Times New Roman"/>
          <w:b/>
          <w:bCs/>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昌江黎族自治县凯利柏尔花园酒店正对面1738.33㎡产业服务中心（第六层）出租</w:t>
      </w:r>
      <w:r>
        <w:rPr>
          <w:rFonts w:ascii="Times New Roman" w:hAnsi="Times New Roman"/>
          <w:b/>
          <w:bCs/>
          <w:sz w:val="28"/>
          <w:szCs w:val="28"/>
        </w:rPr>
        <w:t>”</w:t>
      </w:r>
      <w:r>
        <w:rPr>
          <w:rFonts w:hint="eastAsia" w:ascii="Times New Roman" w:hAnsi="Times New Roman"/>
          <w:b/>
          <w:bCs/>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2" w:firstLineChars="200"/>
        <w:textAlignment w:val="auto"/>
        <w:rPr>
          <w:rFonts w:ascii="Times New Roman" w:hAnsi="Times New Roman"/>
          <w:b/>
          <w:bCs/>
          <w:sz w:val="28"/>
          <w:szCs w:val="28"/>
        </w:rPr>
      </w:pPr>
      <w:r>
        <w:rPr>
          <w:rFonts w:hint="eastAsia" w:ascii="Times New Roman" w:hAnsi="Times New Roman"/>
          <w:b/>
          <w:bCs/>
          <w:sz w:val="28"/>
          <w:szCs w:val="28"/>
        </w:rPr>
        <w:t>一、本竞买方同意按照信息公告的要求，参加</w:t>
      </w:r>
      <w:r>
        <w:rPr>
          <w:rFonts w:ascii="Times New Roman" w:hAnsi="Times New Roman"/>
          <w:b/>
          <w:bCs/>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昌江黎族自治县凯利柏尔花园酒店正对面1738.33㎡产业服务中心（第六层）出租</w:t>
      </w:r>
      <w:r>
        <w:rPr>
          <w:rFonts w:ascii="Times New Roman" w:hAnsi="Times New Roman"/>
          <w:b/>
          <w:bCs/>
          <w:sz w:val="28"/>
          <w:szCs w:val="28"/>
        </w:rPr>
        <w:t>”</w:t>
      </w:r>
      <w:r>
        <w:rPr>
          <w:rFonts w:hint="eastAsia" w:ascii="Times New Roman" w:hAnsi="Times New Roman"/>
          <w:b/>
          <w:bCs/>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2" w:firstLineChars="200"/>
        <w:textAlignment w:val="auto"/>
        <w:rPr>
          <w:rFonts w:ascii="Times New Roman" w:hAnsi="Times New Roman"/>
          <w:b/>
          <w:bCs/>
          <w:sz w:val="28"/>
          <w:szCs w:val="28"/>
        </w:rPr>
      </w:pPr>
      <w:r>
        <w:rPr>
          <w:rFonts w:hint="eastAsia" w:ascii="Times New Roman" w:hAnsi="Times New Roman"/>
          <w:b/>
          <w:bCs/>
          <w:sz w:val="28"/>
          <w:szCs w:val="28"/>
        </w:rPr>
        <w:t>二、本竞买方对</w:t>
      </w:r>
      <w:r>
        <w:rPr>
          <w:rFonts w:ascii="Times New Roman" w:hAnsi="Times New Roman"/>
          <w:b/>
          <w:bCs/>
          <w:sz w:val="28"/>
          <w:szCs w:val="28"/>
        </w:rPr>
        <w:t>“</w:t>
      </w:r>
      <w:r>
        <w:rPr>
          <w:rFonts w:hint="eastAsia" w:ascii="新宋体" w:hAnsi="新宋体" w:eastAsia="新宋体"/>
          <w:b/>
          <w:bCs/>
          <w:color w:val="C00000"/>
          <w:sz w:val="28"/>
          <w:szCs w:val="28"/>
          <w:u w:val="single"/>
          <w:lang w:eastAsia="zh-CN"/>
        </w:rPr>
        <w:t>昌江黎族自治县凯利柏尔花园酒店正对面1738.33㎡产业服务中心（第六层）出租</w:t>
      </w:r>
      <w:r>
        <w:rPr>
          <w:rFonts w:ascii="Times New Roman" w:hAnsi="Times New Roman"/>
          <w:b/>
          <w:bCs/>
          <w:sz w:val="28"/>
          <w:szCs w:val="28"/>
        </w:rPr>
        <w:t>”</w:t>
      </w:r>
      <w:r>
        <w:rPr>
          <w:rFonts w:hint="eastAsia" w:ascii="Times New Roman" w:hAnsi="Times New Roman"/>
          <w:b/>
          <w:bCs/>
          <w:sz w:val="28"/>
          <w:szCs w:val="28"/>
        </w:rPr>
        <w:t>项目和</w:t>
      </w:r>
      <w:r>
        <w:rPr>
          <w:rFonts w:hint="eastAsia" w:ascii="新宋体" w:hAnsi="新宋体" w:eastAsia="新宋体"/>
          <w:b/>
          <w:bCs/>
          <w:sz w:val="28"/>
          <w:szCs w:val="28"/>
        </w:rPr>
        <w:t>《</w:t>
      </w:r>
      <w:r>
        <w:rPr>
          <w:rFonts w:hint="eastAsia" w:ascii="新宋体" w:hAnsi="新宋体" w:eastAsia="新宋体"/>
          <w:b/>
          <w:bCs/>
          <w:sz w:val="28"/>
          <w:szCs w:val="28"/>
          <w:lang w:val="en-US" w:eastAsia="zh-CN"/>
        </w:rPr>
        <w:t>昌江农村产权交易中心</w:t>
      </w:r>
      <w:r>
        <w:rPr>
          <w:rFonts w:hint="eastAsia" w:ascii="新宋体" w:hAnsi="新宋体" w:eastAsia="新宋体"/>
          <w:b/>
          <w:bCs/>
          <w:sz w:val="28"/>
          <w:szCs w:val="28"/>
        </w:rPr>
        <w:t>网络竞价实施办法（试行）》《</w:t>
      </w:r>
      <w:r>
        <w:rPr>
          <w:rFonts w:hint="eastAsia" w:ascii="Times New Roman" w:hAnsi="Times New Roman"/>
          <w:b/>
          <w:bCs/>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2" w:firstLineChars="200"/>
        <w:textAlignment w:val="auto"/>
        <w:rPr>
          <w:rFonts w:ascii="Times New Roman" w:hAnsi="Times New Roman"/>
          <w:b/>
          <w:bCs/>
          <w:sz w:val="28"/>
          <w:szCs w:val="28"/>
        </w:rPr>
      </w:pPr>
      <w:r>
        <w:rPr>
          <w:rFonts w:hint="eastAsia" w:ascii="Times New Roman" w:hAnsi="Times New Roman"/>
          <w:b/>
          <w:bCs/>
          <w:sz w:val="28"/>
          <w:szCs w:val="28"/>
        </w:rPr>
        <w:t>三、本竞买方已进行并完成针对本项目的尽职调查工作（包括但不限于查阅由</w:t>
      </w:r>
      <w:r>
        <w:rPr>
          <w:rFonts w:hint="eastAsia" w:ascii="Times New Roman" w:hAnsi="Times New Roman"/>
          <w:b/>
          <w:bCs/>
          <w:sz w:val="28"/>
          <w:szCs w:val="28"/>
          <w:lang w:eastAsia="zh-CN"/>
        </w:rPr>
        <w:t>出租</w:t>
      </w:r>
      <w:r>
        <w:rPr>
          <w:rFonts w:hint="eastAsia" w:ascii="Times New Roman" w:hAnsi="Times New Roman"/>
          <w:b/>
          <w:bCs/>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b/>
          <w:bCs/>
          <w:sz w:val="28"/>
          <w:szCs w:val="28"/>
          <w:lang w:val="en-US" w:eastAsia="zh-CN"/>
        </w:rPr>
        <w:t>昌江农村产权交易中心</w:t>
      </w:r>
      <w:r>
        <w:rPr>
          <w:rFonts w:hint="eastAsia" w:ascii="新宋体" w:hAnsi="新宋体" w:eastAsia="新宋体" w:cs="Times New Roman"/>
          <w:b/>
          <w:bCs/>
          <w:sz w:val="28"/>
          <w:szCs w:val="28"/>
          <w:lang w:val="en-US" w:eastAsia="zh-CN"/>
        </w:rPr>
        <w:t>（以下简称“农交中心”）网站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Times New Roman" w:hAnsi="Times New Roman"/>
          <w:b/>
          <w:bCs/>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2" w:firstLineChars="200"/>
        <w:jc w:val="left"/>
        <w:textAlignment w:val="auto"/>
        <w:rPr>
          <w:rFonts w:ascii="Times New Roman" w:hAnsi="Times New Roman"/>
          <w:b/>
          <w:bCs/>
          <w:sz w:val="28"/>
          <w:szCs w:val="28"/>
        </w:rPr>
      </w:pPr>
      <w:r>
        <w:rPr>
          <w:rFonts w:hint="eastAsia" w:ascii="Times New Roman" w:hAnsi="Times New Roman"/>
          <w:b/>
          <w:bCs/>
          <w:sz w:val="28"/>
          <w:szCs w:val="28"/>
        </w:rPr>
        <w:t>四、本竞买方同意</w:t>
      </w:r>
      <w:r>
        <w:rPr>
          <w:rFonts w:hint="eastAsia" w:ascii="Times New Roman" w:hAnsi="Times New Roman"/>
          <w:b/>
          <w:bCs/>
          <w:sz w:val="28"/>
          <w:szCs w:val="28"/>
          <w:lang w:eastAsia="zh-CN"/>
        </w:rPr>
        <w:t>出租</w:t>
      </w:r>
      <w:r>
        <w:rPr>
          <w:rFonts w:hint="eastAsia" w:ascii="Times New Roman" w:hAnsi="Times New Roman"/>
          <w:b/>
          <w:bCs/>
          <w:sz w:val="28"/>
          <w:szCs w:val="28"/>
        </w:rPr>
        <w:t>（转让）方和</w:t>
      </w:r>
      <w:r>
        <w:rPr>
          <w:rFonts w:hint="eastAsia" w:ascii="Times New Roman" w:hAnsi="Times New Roman"/>
          <w:b/>
          <w:bCs/>
          <w:sz w:val="28"/>
          <w:szCs w:val="28"/>
          <w:lang w:eastAsia="zh-CN"/>
        </w:rPr>
        <w:t>农交中心</w:t>
      </w:r>
      <w:r>
        <w:rPr>
          <w:rFonts w:hint="eastAsia" w:ascii="Times New Roman" w:hAnsi="Times New Roman"/>
          <w:b/>
          <w:bCs/>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2" w:firstLineChars="200"/>
        <w:textAlignment w:val="auto"/>
        <w:rPr>
          <w:rFonts w:ascii="Times New Roman" w:hAnsi="Times New Roman"/>
          <w:b/>
          <w:bCs/>
          <w:sz w:val="28"/>
          <w:szCs w:val="28"/>
        </w:rPr>
      </w:pPr>
      <w:r>
        <w:rPr>
          <w:rFonts w:hint="eastAsia" w:ascii="Times New Roman" w:hAnsi="Times New Roman"/>
          <w:b/>
          <w:bCs/>
          <w:sz w:val="28"/>
          <w:szCs w:val="28"/>
        </w:rPr>
        <w:t>五、本竞买方承诺在竞价成功后按照</w:t>
      </w:r>
      <w:r>
        <w:rPr>
          <w:rFonts w:hint="eastAsia" w:ascii="Times New Roman" w:hAnsi="Times New Roman"/>
          <w:b/>
          <w:bCs/>
          <w:sz w:val="28"/>
          <w:szCs w:val="28"/>
          <w:lang w:val="en-US" w:eastAsia="zh-CN"/>
        </w:rPr>
        <w:t>昌江</w:t>
      </w:r>
      <w:r>
        <w:rPr>
          <w:rFonts w:hint="eastAsia" w:ascii="Times New Roman" w:hAnsi="Times New Roman"/>
          <w:b/>
          <w:bCs/>
          <w:sz w:val="28"/>
          <w:szCs w:val="28"/>
        </w:rPr>
        <w:t>农村产权交易服务</w:t>
      </w:r>
      <w:r>
        <w:rPr>
          <w:rFonts w:hint="eastAsia" w:ascii="Times New Roman" w:hAnsi="Times New Roman"/>
          <w:b/>
          <w:bCs/>
          <w:sz w:val="28"/>
          <w:szCs w:val="28"/>
          <w:lang w:eastAsia="zh-CN"/>
        </w:rPr>
        <w:t>农交中心</w:t>
      </w:r>
      <w:r>
        <w:rPr>
          <w:rFonts w:hint="eastAsia" w:ascii="Times New Roman" w:hAnsi="Times New Roman"/>
          <w:b/>
          <w:bCs/>
          <w:sz w:val="28"/>
          <w:szCs w:val="28"/>
        </w:rPr>
        <w:t>书面通知要求与</w:t>
      </w:r>
      <w:r>
        <w:rPr>
          <w:rFonts w:hint="eastAsia" w:ascii="Times New Roman" w:hAnsi="Times New Roman"/>
          <w:b/>
          <w:bCs/>
          <w:sz w:val="28"/>
          <w:szCs w:val="28"/>
          <w:lang w:eastAsia="zh-CN"/>
        </w:rPr>
        <w:t>出租</w:t>
      </w:r>
      <w:r>
        <w:rPr>
          <w:rFonts w:hint="eastAsia" w:ascii="Times New Roman" w:hAnsi="Times New Roman"/>
          <w:b/>
          <w:bCs/>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2" w:firstLineChars="200"/>
        <w:textAlignment w:val="auto"/>
        <w:rPr>
          <w:rFonts w:ascii="Times New Roman" w:hAnsi="Times New Roman"/>
          <w:b/>
          <w:bCs/>
          <w:sz w:val="28"/>
          <w:szCs w:val="28"/>
        </w:rPr>
      </w:pPr>
      <w:r>
        <w:rPr>
          <w:rFonts w:hint="eastAsia" w:ascii="Times New Roman" w:hAnsi="Times New Roman"/>
          <w:b/>
          <w:bCs/>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rPr>
          <w:b/>
          <w:bCs/>
        </w:rPr>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b/>
          <w:bCs/>
          <w:lang w:val="en-US" w:eastAsia="zh-CN"/>
        </w:rPr>
      </w:pPr>
      <w:r>
        <w:rPr>
          <w:rFonts w:ascii="Times New Roman" w:hAnsi="Times New Roman"/>
          <w:b/>
          <w:bCs/>
          <w:sz w:val="28"/>
          <w:szCs w:val="28"/>
        </w:rPr>
        <w:t xml:space="preserve">  </w:t>
      </w:r>
      <w:r>
        <w:rPr>
          <w:rFonts w:hint="eastAsia" w:ascii="Times New Roman" w:hAnsi="Times New Roman"/>
          <w:b/>
          <w:bCs/>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b/>
          <w:bCs/>
          <w:sz w:val="28"/>
          <w:szCs w:val="28"/>
        </w:rPr>
      </w:pPr>
      <w:r>
        <w:rPr>
          <w:rFonts w:ascii="Times New Roman" w:hAnsi="Times New Roman"/>
          <w:b/>
          <w:bCs/>
          <w:sz w:val="28"/>
          <w:szCs w:val="28"/>
        </w:rPr>
        <w:t xml:space="preserve">                               </w:t>
      </w:r>
      <w:r>
        <w:rPr>
          <w:rFonts w:hint="eastAsia" w:ascii="Times New Roman" w:hAnsi="Times New Roman"/>
          <w:b/>
          <w:bCs/>
          <w:sz w:val="28"/>
          <w:szCs w:val="28"/>
        </w:rPr>
        <w:t>　　　　</w:t>
      </w:r>
      <w:r>
        <w:rPr>
          <w:rFonts w:hint="eastAsia" w:ascii="Times New Roman" w:hAnsi="Times New Roman"/>
          <w:b/>
          <w:bCs/>
          <w:sz w:val="28"/>
          <w:szCs w:val="28"/>
          <w:lang w:val="en-US" w:eastAsia="zh-CN"/>
        </w:rPr>
        <w:t xml:space="preserve"> </w:t>
      </w:r>
      <w:r>
        <w:rPr>
          <w:rFonts w:hint="eastAsia" w:ascii="Times New Roman" w:hAnsi="Times New Roman"/>
          <w:b/>
          <w:bCs/>
          <w:sz w:val="28"/>
          <w:szCs w:val="28"/>
        </w:rPr>
        <w:t>年</w:t>
      </w:r>
      <w:r>
        <w:rPr>
          <w:rFonts w:hint="eastAsia" w:ascii="Times New Roman" w:hAnsi="Times New Roman"/>
          <w:b/>
          <w:bCs/>
          <w:sz w:val="28"/>
          <w:szCs w:val="28"/>
          <w:lang w:val="en-US" w:eastAsia="zh-CN"/>
        </w:rPr>
        <w:t xml:space="preserve">  </w:t>
      </w:r>
      <w:r>
        <w:rPr>
          <w:rFonts w:hint="eastAsia" w:ascii="Times New Roman" w:hAnsi="Times New Roman"/>
          <w:b/>
          <w:bCs/>
          <w:sz w:val="28"/>
          <w:szCs w:val="28"/>
        </w:rPr>
        <w:t>月</w:t>
      </w:r>
      <w:r>
        <w:rPr>
          <w:rFonts w:hint="eastAsia" w:ascii="Times New Roman" w:hAnsi="Times New Roman"/>
          <w:b/>
          <w:bCs/>
          <w:sz w:val="28"/>
          <w:szCs w:val="28"/>
          <w:lang w:val="en-US" w:eastAsia="zh-CN"/>
        </w:rPr>
        <w:t xml:space="preserve">  </w:t>
      </w:r>
      <w:r>
        <w:rPr>
          <w:rFonts w:hint="eastAsia" w:ascii="Times New Roman" w:hAnsi="Times New Roman"/>
          <w:b/>
          <w:bCs/>
          <w:sz w:val="28"/>
          <w:szCs w:val="28"/>
        </w:rPr>
        <w:t>日</w:t>
      </w:r>
    </w:p>
    <w:p w14:paraId="73F180E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b/>
          <w:bCs/>
          <w:sz w:val="28"/>
          <w:szCs w:val="28"/>
        </w:rPr>
      </w:pPr>
    </w:p>
    <w:p w14:paraId="399795E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b/>
          <w:bCs/>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
          <w:bCs/>
          <w:sz w:val="24"/>
        </w:rPr>
      </w:pPr>
      <w:r>
        <w:rPr>
          <w:rFonts w:hint="eastAsia" w:ascii="Times New Roman" w:hAnsi="Times New Roman" w:eastAsia="黑体"/>
          <w:b/>
          <w:bCs/>
          <w:sz w:val="24"/>
          <w:lang w:val="en-US" w:eastAsia="zh-CN"/>
        </w:rPr>
        <w:t>昌江农村产权交易中心</w:t>
      </w:r>
      <w:r>
        <w:rPr>
          <w:rFonts w:hint="eastAsia" w:ascii="Times New Roman" w:hAnsi="Times New Roman" w:eastAsia="黑体"/>
          <w:b/>
          <w:bCs/>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lang w:eastAsia="zh-CN"/>
        </w:rPr>
        <w:t>昌江黎族自治县凯利柏尔花园酒店正对面1738.33㎡产业服务中心（第六层）出租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55" w:firstLineChars="1600"/>
        <w:rPr>
          <w:rFonts w:ascii="宋体" w:hAnsi="宋体" w:eastAsia="宋体" w:cs="宋体"/>
          <w:b/>
          <w:bCs/>
          <w:sz w:val="24"/>
          <w:u w:val="single"/>
        </w:rPr>
      </w:pPr>
      <w:bookmarkStart w:id="22" w:name="_Toc4535"/>
      <w:bookmarkStart w:id="23" w:name="_Toc30986"/>
      <w:bookmarkStart w:id="24" w:name="_Toc29057"/>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rPr>
        <w:t>法定代表人（签字）：</w:t>
      </w:r>
      <w:bookmarkEnd w:id="25"/>
      <w:bookmarkEnd w:id="26"/>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29841"/>
      <w:bookmarkStart w:id="28" w:name="_Toc4580"/>
      <w:bookmarkStart w:id="29" w:name="_Toc32101"/>
      <w:bookmarkStart w:id="30" w:name="_Toc12264"/>
      <w:bookmarkStart w:id="31" w:name="_Toc14469"/>
      <w:bookmarkStart w:id="32" w:name="_Toc13094"/>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昌江黎族自治县凯利柏尔花园酒店正对面1738.33㎡产业服务中心（第六层）出租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昌江黎族自治县凯利柏尔花园酒店正对面1738.33㎡产业服务中心（第六层）出租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昌江黎族自治县凯利柏尔花园酒店正对面1738.33㎡产业服务中心（第六层）出租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昌江黎族自治县凯利柏尔花园酒店正对面1738.33㎡产业服务中心（第六层）出租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5年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371724</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default" w:ascii="Segoe UI" w:hAnsi="Segoe UI" w:eastAsia="Segoe UI" w:cs="Segoe UI"/>
          <w:i w:val="0"/>
          <w:iCs w:val="0"/>
          <w:caps w:val="0"/>
          <w:color w:val="000000"/>
          <w:spacing w:val="0"/>
          <w:sz w:val="28"/>
          <w:szCs w:val="28"/>
        </w:rPr>
        <w:t>第一次支付时间为免租期满后5个工作日内缴纳</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420" w:firstLineChars="200"/>
        <w:rPr>
          <w:rFonts w:hint="eastAsia" w:asciiTheme="minorEastAsia" w:hAnsiTheme="minorEastAsia" w:eastAsiaTheme="minorEastAsia" w:cstheme="minorEastAsia"/>
          <w:sz w:val="28"/>
          <w:szCs w:val="28"/>
        </w:rPr>
      </w:pPr>
      <w:r>
        <w:drawing>
          <wp:anchor distT="0" distB="0" distL="114300" distR="114300" simplePos="0" relativeHeight="251662336" behindDoc="1" locked="0" layoutInCell="1" allowOverlap="1">
            <wp:simplePos x="0" y="0"/>
            <wp:positionH relativeFrom="column">
              <wp:posOffset>-389890</wp:posOffset>
            </wp:positionH>
            <wp:positionV relativeFrom="paragraph">
              <wp:posOffset>986155</wp:posOffset>
            </wp:positionV>
            <wp:extent cx="1424305" cy="1409065"/>
            <wp:effectExtent l="0" t="0" r="4445" b="635"/>
            <wp:wrapTight wrapText="bothSides">
              <wp:wrapPolygon>
                <wp:start x="0" y="0"/>
                <wp:lineTo x="0" y="21318"/>
                <wp:lineTo x="21379" y="21318"/>
                <wp:lineTo x="2137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424305" cy="1409065"/>
                    </a:xfrm>
                    <a:prstGeom prst="rect">
                      <a:avLst/>
                    </a:prstGeom>
                    <a:noFill/>
                    <a:ln>
                      <a:noFill/>
                    </a:ln>
                  </pic:spPr>
                </pic:pic>
              </a:graphicData>
            </a:graphic>
          </wp:anchor>
        </w:drawing>
      </w: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bookmarkStart w:id="35" w:name="_GoBack"/>
      <w:bookmarkEnd w:id="35"/>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48064C"/>
    <w:rsid w:val="00B57B36"/>
    <w:rsid w:val="00CD7376"/>
    <w:rsid w:val="00E03B4E"/>
    <w:rsid w:val="00E541D7"/>
    <w:rsid w:val="011B32B7"/>
    <w:rsid w:val="021C29C7"/>
    <w:rsid w:val="04295BF6"/>
    <w:rsid w:val="070E6657"/>
    <w:rsid w:val="09077801"/>
    <w:rsid w:val="0A8721A0"/>
    <w:rsid w:val="0B7B2128"/>
    <w:rsid w:val="0B985CD3"/>
    <w:rsid w:val="0BB60147"/>
    <w:rsid w:val="0C0125B4"/>
    <w:rsid w:val="0CD67C16"/>
    <w:rsid w:val="0D554492"/>
    <w:rsid w:val="0E1061EA"/>
    <w:rsid w:val="0E8A0CB9"/>
    <w:rsid w:val="0E9816ED"/>
    <w:rsid w:val="10396E71"/>
    <w:rsid w:val="11DE52CB"/>
    <w:rsid w:val="129C098E"/>
    <w:rsid w:val="13074039"/>
    <w:rsid w:val="132D209C"/>
    <w:rsid w:val="1487397E"/>
    <w:rsid w:val="148D1503"/>
    <w:rsid w:val="150A3847"/>
    <w:rsid w:val="152D59AA"/>
    <w:rsid w:val="15EB4FDC"/>
    <w:rsid w:val="16C136E5"/>
    <w:rsid w:val="16D93709"/>
    <w:rsid w:val="18E10F33"/>
    <w:rsid w:val="198A6011"/>
    <w:rsid w:val="1A0C35CC"/>
    <w:rsid w:val="1A525566"/>
    <w:rsid w:val="1A626F8D"/>
    <w:rsid w:val="1CA069B8"/>
    <w:rsid w:val="1CE74D57"/>
    <w:rsid w:val="1E22432A"/>
    <w:rsid w:val="1F9512B8"/>
    <w:rsid w:val="205C18F7"/>
    <w:rsid w:val="20BE4E97"/>
    <w:rsid w:val="2163678E"/>
    <w:rsid w:val="221A4D5F"/>
    <w:rsid w:val="237C10C0"/>
    <w:rsid w:val="23C4301C"/>
    <w:rsid w:val="246758CC"/>
    <w:rsid w:val="246E1B71"/>
    <w:rsid w:val="253073FD"/>
    <w:rsid w:val="26F96A9C"/>
    <w:rsid w:val="2741574C"/>
    <w:rsid w:val="27AC72CB"/>
    <w:rsid w:val="28992024"/>
    <w:rsid w:val="28BE3B5A"/>
    <w:rsid w:val="29A96C5C"/>
    <w:rsid w:val="2B657B12"/>
    <w:rsid w:val="2C074A6C"/>
    <w:rsid w:val="2C765212"/>
    <w:rsid w:val="2D5C59D6"/>
    <w:rsid w:val="2E24482E"/>
    <w:rsid w:val="305022B6"/>
    <w:rsid w:val="30AA01BC"/>
    <w:rsid w:val="30B56AE1"/>
    <w:rsid w:val="30CE55FA"/>
    <w:rsid w:val="31342FDA"/>
    <w:rsid w:val="327E6635"/>
    <w:rsid w:val="3321133C"/>
    <w:rsid w:val="34164C19"/>
    <w:rsid w:val="347A51A8"/>
    <w:rsid w:val="34F0372B"/>
    <w:rsid w:val="3516702D"/>
    <w:rsid w:val="356B4AF0"/>
    <w:rsid w:val="356B5D48"/>
    <w:rsid w:val="36257C7B"/>
    <w:rsid w:val="37E601A9"/>
    <w:rsid w:val="3A7A2C02"/>
    <w:rsid w:val="3D124BF3"/>
    <w:rsid w:val="3D922FE7"/>
    <w:rsid w:val="3DF150A0"/>
    <w:rsid w:val="3EE84C2D"/>
    <w:rsid w:val="3F220916"/>
    <w:rsid w:val="3F744EE9"/>
    <w:rsid w:val="3FBB6674"/>
    <w:rsid w:val="40176161"/>
    <w:rsid w:val="42EC1909"/>
    <w:rsid w:val="42F75C15"/>
    <w:rsid w:val="43315BEC"/>
    <w:rsid w:val="43AD1C7C"/>
    <w:rsid w:val="4421443C"/>
    <w:rsid w:val="4486772E"/>
    <w:rsid w:val="44912C24"/>
    <w:rsid w:val="477C493B"/>
    <w:rsid w:val="47C03328"/>
    <w:rsid w:val="48350522"/>
    <w:rsid w:val="48F422BB"/>
    <w:rsid w:val="4A761B16"/>
    <w:rsid w:val="4A7A6DBA"/>
    <w:rsid w:val="4C122427"/>
    <w:rsid w:val="4CCF04AD"/>
    <w:rsid w:val="4CD73773"/>
    <w:rsid w:val="4D440E1C"/>
    <w:rsid w:val="4DC33073"/>
    <w:rsid w:val="4E3F7559"/>
    <w:rsid w:val="4ECE0172"/>
    <w:rsid w:val="50804CA1"/>
    <w:rsid w:val="51516E47"/>
    <w:rsid w:val="56925717"/>
    <w:rsid w:val="577F3F12"/>
    <w:rsid w:val="5BD329C8"/>
    <w:rsid w:val="5CF93C67"/>
    <w:rsid w:val="5D6869D0"/>
    <w:rsid w:val="607744A1"/>
    <w:rsid w:val="611F660B"/>
    <w:rsid w:val="62920BC0"/>
    <w:rsid w:val="637A7D59"/>
    <w:rsid w:val="639A786B"/>
    <w:rsid w:val="639B14F1"/>
    <w:rsid w:val="64515E2E"/>
    <w:rsid w:val="64D61FAB"/>
    <w:rsid w:val="65D04F15"/>
    <w:rsid w:val="66A24E3E"/>
    <w:rsid w:val="66A575B3"/>
    <w:rsid w:val="687523E6"/>
    <w:rsid w:val="68790CF7"/>
    <w:rsid w:val="69A545FF"/>
    <w:rsid w:val="69A739D7"/>
    <w:rsid w:val="6C56086E"/>
    <w:rsid w:val="6D30394E"/>
    <w:rsid w:val="6DBC2B14"/>
    <w:rsid w:val="6DE51DC7"/>
    <w:rsid w:val="73AC38AA"/>
    <w:rsid w:val="73C6500C"/>
    <w:rsid w:val="74083869"/>
    <w:rsid w:val="74130252"/>
    <w:rsid w:val="786A7F85"/>
    <w:rsid w:val="791505B4"/>
    <w:rsid w:val="7961108A"/>
    <w:rsid w:val="7A7C6A82"/>
    <w:rsid w:val="7A8615E4"/>
    <w:rsid w:val="7D051392"/>
    <w:rsid w:val="7EA06CB1"/>
    <w:rsid w:val="7EC1633B"/>
    <w:rsid w:val="7EF0118F"/>
    <w:rsid w:val="7FC0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6628</Words>
  <Characters>7000</Characters>
  <Lines>59</Lines>
  <Paragraphs>16</Paragraphs>
  <TotalTime>0</TotalTime>
  <ScaleCrop>false</ScaleCrop>
  <LinksUpToDate>false</LinksUpToDate>
  <CharactersWithSpaces>7426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2026-03-06T08:38:54Z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