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bookmarkStart w:id="1" w:name="_GoBack"/>
      <w:r>
        <w:rPr>
          <w:rFonts w:hint="eastAsia" w:ascii="方正小标宋简体" w:hAnsi="方正小标宋简体" w:eastAsia="方正小标宋简体" w:cs="方正小标宋简体"/>
          <w:sz w:val="96"/>
          <w:szCs w:val="96"/>
          <w:lang w:val="en-US" w:eastAsia="zh-CN"/>
        </w:rPr>
        <w:t>报</w:t>
      </w:r>
    </w:p>
    <w:bookmarkEnd w:id="1"/>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023EC519">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9468761">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77690D2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75DC18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4E966634">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0A5A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意向承租方（企业/个体工商户）须向安远县农村产权交易中心提交以下报名材料：</w:t>
      </w:r>
    </w:p>
    <w:p w14:paraId="16361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3A98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713D4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三、企业信用证明</w:t>
      </w:r>
      <w:r>
        <w:rPr>
          <w:rFonts w:hint="eastAsia" w:ascii="仿宋_GB2312" w:hAnsi="仿宋_GB2312" w:eastAsia="仿宋_GB2312" w:cs="仿宋_GB2312"/>
          <w:b w:val="0"/>
          <w:bCs w:val="0"/>
          <w:spacing w:val="-11"/>
          <w:sz w:val="32"/>
          <w:szCs w:val="32"/>
          <w:lang w:val="en-US" w:eastAsia="zh-CN"/>
        </w:rPr>
        <w:t>（盖章或按手印）</w:t>
      </w:r>
    </w:p>
    <w:p w14:paraId="513BD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67523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3319A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6C8BA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1FBF2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AF2F9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76E2B6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18D395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24115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75C51992">
      <w:pPr>
        <w:numPr>
          <w:ilvl w:val="0"/>
          <w:numId w:val="0"/>
        </w:numPr>
        <w:jc w:val="both"/>
        <w:rPr>
          <w:rFonts w:hint="eastAsia" w:ascii="黑体" w:hAnsi="黑体" w:eastAsia="黑体" w:cs="黑体"/>
          <w:b w:val="0"/>
          <w:bCs w:val="0"/>
          <w:sz w:val="32"/>
          <w:szCs w:val="32"/>
          <w:lang w:val="en-US" w:eastAsia="zh-CN"/>
        </w:rPr>
      </w:pPr>
    </w:p>
    <w:p w14:paraId="40930A10">
      <w:pPr>
        <w:numPr>
          <w:ilvl w:val="0"/>
          <w:numId w:val="0"/>
        </w:numPr>
        <w:jc w:val="both"/>
        <w:rPr>
          <w:rFonts w:hint="eastAsia" w:ascii="黑体" w:hAnsi="黑体" w:eastAsia="黑体" w:cs="黑体"/>
          <w:b w:val="0"/>
          <w:bCs w:val="0"/>
          <w:sz w:val="32"/>
          <w:szCs w:val="32"/>
          <w:lang w:val="en-US" w:eastAsia="zh-CN"/>
        </w:rPr>
      </w:pPr>
    </w:p>
    <w:p w14:paraId="307E13E7">
      <w:pPr>
        <w:numPr>
          <w:ilvl w:val="0"/>
          <w:numId w:val="0"/>
        </w:numPr>
        <w:jc w:val="both"/>
        <w:rPr>
          <w:rFonts w:hint="eastAsia" w:ascii="黑体" w:hAnsi="黑体" w:eastAsia="黑体" w:cs="黑体"/>
          <w:b w:val="0"/>
          <w:bCs w:val="0"/>
          <w:sz w:val="32"/>
          <w:szCs w:val="32"/>
          <w:lang w:val="en-US" w:eastAsia="zh-CN"/>
        </w:rPr>
      </w:pPr>
    </w:p>
    <w:p w14:paraId="5F948D9B">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0F46AC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14:paraId="5F3694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安远县电商快递物流园1-5#210室租赁（二次挂网）项目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安远县电商快递物流园1-5#210室租赁（二次挂网）项目 </w:t>
      </w:r>
      <w:r>
        <w:rPr>
          <w:rFonts w:hint="eastAsia" w:ascii="仿宋_GB2312" w:hAnsi="仿宋_GB2312" w:eastAsia="仿宋_GB2312" w:cs="仿宋_GB2312"/>
          <w:sz w:val="32"/>
          <w:szCs w:val="32"/>
          <w:highlight w:val="none"/>
          <w:rtl w:val="0"/>
          <w:lang w:val="en-US"/>
        </w:rPr>
        <w:t xml:space="preserve"> ”</w:t>
      </w:r>
      <w:r>
        <w:rPr>
          <w:rFonts w:hint="eastAsia" w:ascii="仿宋_GB2312" w:hAnsi="仿宋_GB2312" w:eastAsia="仿宋_GB2312" w:cs="仿宋_GB2312"/>
          <w:sz w:val="32"/>
          <w:szCs w:val="32"/>
          <w:highlight w:val="none"/>
          <w:rtl w:val="0"/>
          <w:lang w:val="zh-TW" w:eastAsia="zh-TW"/>
        </w:rPr>
        <w:t>网络竞价，并参与报价。</w:t>
      </w:r>
    </w:p>
    <w:p w14:paraId="234043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安远县电商快递物流园1-5#210室租赁（二次挂网）项目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w:t>
      </w:r>
      <w:r>
        <w:rPr>
          <w:rFonts w:hint="eastAsia" w:ascii="仿宋_GB2312" w:hAnsi="仿宋_GB2312" w:eastAsia="仿宋_GB2312" w:cs="仿宋_GB2312"/>
          <w:sz w:val="32"/>
          <w:szCs w:val="32"/>
          <w:highlight w:val="none"/>
          <w:rtl w:val="0"/>
          <w:lang w:val="en-US" w:eastAsia="zh-CN"/>
        </w:rPr>
        <w:t>店铺</w:t>
      </w:r>
      <w:r>
        <w:rPr>
          <w:rFonts w:hint="eastAsia" w:ascii="仿宋_GB2312" w:hAnsi="仿宋_GB2312" w:eastAsia="仿宋_GB2312" w:cs="仿宋_GB2312"/>
          <w:sz w:val="32"/>
          <w:szCs w:val="32"/>
          <w:highlight w:val="none"/>
          <w:rtl w:val="0"/>
          <w:lang w:val="zh-TW" w:eastAsia="zh-TW"/>
        </w:rPr>
        <w:t>，不进行任何违法、违规或损害</w:t>
      </w:r>
      <w:r>
        <w:rPr>
          <w:rFonts w:hint="eastAsia" w:ascii="仿宋_GB2312" w:hAnsi="仿宋_GB2312" w:eastAsia="仿宋_GB2312" w:cs="仿宋_GB2312"/>
          <w:sz w:val="32"/>
          <w:szCs w:val="32"/>
          <w:highlight w:val="none"/>
          <w:rtl w:val="0"/>
          <w:lang w:val="en-US" w:eastAsia="zh-CN"/>
        </w:rPr>
        <w:t>店铺</w:t>
      </w:r>
      <w:r>
        <w:rPr>
          <w:rFonts w:hint="eastAsia" w:ascii="仿宋_GB2312" w:hAnsi="仿宋_GB2312" w:eastAsia="仿宋_GB2312" w:cs="仿宋_GB2312"/>
          <w:sz w:val="32"/>
          <w:szCs w:val="32"/>
          <w:highlight w:val="none"/>
          <w:rtl w:val="0"/>
          <w:lang w:val="zh-TW" w:eastAsia="zh-TW"/>
        </w:rPr>
        <w:t>安全</w:t>
      </w:r>
      <w:r>
        <w:rPr>
          <w:rFonts w:hint="eastAsia" w:ascii="仿宋_GB2312" w:hAnsi="仿宋_GB2312" w:eastAsia="仿宋_GB2312" w:cs="仿宋_GB2312"/>
          <w:sz w:val="32"/>
          <w:szCs w:val="32"/>
          <w:highlight w:val="none"/>
          <w:rtl w:val="0"/>
          <w:lang w:val="en-US" w:eastAsia="zh-CN"/>
        </w:rPr>
        <w:t>及周边</w:t>
      </w:r>
      <w:r>
        <w:rPr>
          <w:rFonts w:hint="eastAsia" w:ascii="仿宋_GB2312" w:hAnsi="仿宋_GB2312" w:eastAsia="仿宋_GB2312" w:cs="仿宋_GB2312"/>
          <w:sz w:val="32"/>
          <w:szCs w:val="32"/>
          <w:highlight w:val="none"/>
          <w:rtl w:val="0"/>
          <w:lang w:val="zh-TW" w:eastAsia="zh-TW"/>
        </w:rPr>
        <w:t>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2D2A6ACA">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0B2CD9B4">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黑体" w:hAnsi="黑体" w:eastAsia="黑体" w:cs="黑体"/>
          <w:b w:val="0"/>
          <w:bCs w:val="0"/>
          <w:sz w:val="32"/>
          <w:szCs w:val="32"/>
          <w:rtl w:val="0"/>
          <w:lang w:val="en-US" w:eastAsia="zh-CN"/>
        </w:rPr>
      </w:pPr>
      <w:r>
        <w:rPr>
          <w:rFonts w:hint="eastAsia" w:ascii="仿宋_GB2312" w:hAnsi="仿宋_GB2312" w:eastAsia="仿宋_GB2312" w:cs="仿宋_GB2312"/>
          <w:sz w:val="32"/>
          <w:szCs w:val="32"/>
          <w:rtl w:val="0"/>
          <w:lang w:val="zh-TW" w:eastAsia="zh-TW"/>
        </w:rPr>
        <w:t xml:space="preserve"> </w:t>
      </w:r>
    </w:p>
    <w:p w14:paraId="0305F8BD">
      <w:pPr>
        <w:numPr>
          <w:ilvl w:val="0"/>
          <w:numId w:val="0"/>
        </w:numPr>
        <w:jc w:val="both"/>
        <w:rPr>
          <w:rFonts w:hint="eastAsia" w:ascii="黑体" w:hAnsi="黑体" w:eastAsia="黑体" w:cs="黑体"/>
          <w:b w:val="0"/>
          <w:bCs w:val="0"/>
          <w:sz w:val="32"/>
          <w:szCs w:val="32"/>
          <w:rtl w:val="0"/>
          <w:lang w:val="en-US" w:eastAsia="zh-CN"/>
        </w:rPr>
      </w:pPr>
    </w:p>
    <w:p w14:paraId="5B3BA8E8">
      <w:pPr>
        <w:numPr>
          <w:ilvl w:val="0"/>
          <w:numId w:val="0"/>
        </w:numPr>
        <w:jc w:val="both"/>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655E2BE0">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sz w:val="44"/>
          <w:szCs w:val="44"/>
        </w:rPr>
        <w:t>安远县农村产权交易服务费收费标准</w:t>
      </w:r>
    </w:p>
    <w:tbl>
      <w:tblPr>
        <w:tblStyle w:val="5"/>
        <w:tblW w:w="9528" w:type="dxa"/>
        <w:tblInd w:w="-312" w:type="dxa"/>
        <w:tblLayout w:type="autofit"/>
        <w:tblCellMar>
          <w:top w:w="0" w:type="dxa"/>
          <w:left w:w="108" w:type="dxa"/>
          <w:bottom w:w="0" w:type="dxa"/>
          <w:right w:w="108" w:type="dxa"/>
        </w:tblCellMar>
      </w:tblPr>
      <w:tblGrid>
        <w:gridCol w:w="4283"/>
        <w:gridCol w:w="5245"/>
      </w:tblGrid>
      <w:tr w14:paraId="626ADF3C">
        <w:tblPrEx>
          <w:tblCellMar>
            <w:top w:w="0" w:type="dxa"/>
            <w:left w:w="108" w:type="dxa"/>
            <w:bottom w:w="0" w:type="dxa"/>
            <w:right w:w="108" w:type="dxa"/>
          </w:tblCellMar>
        </w:tblPrEx>
        <w:trPr>
          <w:trHeight w:val="445" w:hRule="atLeast"/>
        </w:trPr>
        <w:tc>
          <w:tcPr>
            <w:tcW w:w="9528" w:type="dxa"/>
            <w:gridSpan w:val="2"/>
            <w:tcBorders>
              <w:top w:val="single" w:color="000000" w:sz="8" w:space="0"/>
              <w:left w:val="single" w:color="000000" w:sz="8" w:space="0"/>
              <w:bottom w:val="nil"/>
              <w:right w:val="single" w:color="000000" w:sz="8" w:space="0"/>
            </w:tcBorders>
            <w:shd w:val="clear" w:color="auto" w:fill="FFFFFF"/>
            <w:noWrap w:val="0"/>
            <w:vAlign w:val="center"/>
          </w:tcPr>
          <w:p w14:paraId="4043866F">
            <w:pPr>
              <w:widowControl/>
              <w:jc w:val="center"/>
              <w:textAlignment w:val="center"/>
              <w:rPr>
                <w:rFonts w:ascii="仿宋" w:hAnsi="仿宋" w:eastAsia="仿宋" w:cs="仿宋"/>
                <w:b/>
                <w:bCs/>
                <w:color w:val="000000"/>
                <w:sz w:val="24"/>
                <w:szCs w:val="24"/>
              </w:rPr>
            </w:pPr>
            <w:bookmarkStart w:id="0" w:name="_Hlk170996877"/>
            <w:r>
              <w:rPr>
                <w:rFonts w:hint="eastAsia" w:ascii="仿宋" w:hAnsi="仿宋" w:eastAsia="仿宋" w:cs="仿宋"/>
                <w:b/>
                <w:bCs/>
                <w:color w:val="000000"/>
                <w:sz w:val="24"/>
                <w:szCs w:val="24"/>
                <w:lang w:bidi="ar"/>
              </w:rPr>
              <w:t>安远县</w:t>
            </w:r>
            <w:r>
              <w:rPr>
                <w:rFonts w:hint="eastAsia" w:ascii="仿宋" w:hAnsi="仿宋" w:eastAsia="仿宋" w:cs="仿宋"/>
                <w:b/>
                <w:bCs/>
                <w:color w:val="000000"/>
                <w:kern w:val="0"/>
                <w:sz w:val="24"/>
                <w:szCs w:val="24"/>
                <w:lang w:bidi="ar"/>
              </w:rPr>
              <w:t>农村产权交易中心交易</w:t>
            </w:r>
          </w:p>
        </w:tc>
      </w:tr>
      <w:tr w14:paraId="2E79DE04">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59EA8E9">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服务费收费标准</w:t>
            </w:r>
          </w:p>
        </w:tc>
      </w:tr>
      <w:bookmarkEnd w:id="0"/>
      <w:tr w14:paraId="4FEC770D">
        <w:tblPrEx>
          <w:tblCellMar>
            <w:top w:w="0" w:type="dxa"/>
            <w:left w:w="108" w:type="dxa"/>
            <w:bottom w:w="0" w:type="dxa"/>
            <w:right w:w="108" w:type="dxa"/>
          </w:tblCellMar>
        </w:tblPrEx>
        <w:trPr>
          <w:trHeight w:val="595"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36F745E7">
            <w:pPr>
              <w:widowControl/>
              <w:jc w:val="center"/>
              <w:textAlignment w:val="center"/>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按差额定律累进计费方式计费（流转租金总价款）</w:t>
            </w:r>
          </w:p>
        </w:tc>
      </w:tr>
      <w:tr w14:paraId="0BBC0389">
        <w:tblPrEx>
          <w:tblCellMar>
            <w:top w:w="0" w:type="dxa"/>
            <w:left w:w="108" w:type="dxa"/>
            <w:bottom w:w="0" w:type="dxa"/>
            <w:right w:w="108" w:type="dxa"/>
          </w:tblCellMar>
        </w:tblPrEx>
        <w:trPr>
          <w:trHeight w:val="595" w:hRule="atLeast"/>
        </w:trPr>
        <w:tc>
          <w:tcPr>
            <w:tcW w:w="4283" w:type="dxa"/>
            <w:tcBorders>
              <w:top w:val="nil"/>
              <w:left w:val="single" w:color="000000" w:sz="8" w:space="0"/>
              <w:bottom w:val="single" w:color="000000" w:sz="8" w:space="0"/>
              <w:right w:val="single" w:color="000000" w:sz="8" w:space="0"/>
            </w:tcBorders>
            <w:shd w:val="clear" w:color="auto" w:fill="FFFFFF"/>
            <w:noWrap w:val="0"/>
            <w:vAlign w:val="center"/>
          </w:tcPr>
          <w:p w14:paraId="29731ACC">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交易金额（万元）</w:t>
            </w:r>
          </w:p>
        </w:tc>
        <w:tc>
          <w:tcPr>
            <w:tcW w:w="5245" w:type="dxa"/>
            <w:tcBorders>
              <w:top w:val="single" w:color="000000" w:sz="8" w:space="0"/>
              <w:left w:val="nil"/>
              <w:bottom w:val="single" w:color="000000" w:sz="8" w:space="0"/>
              <w:right w:val="single" w:color="000000" w:sz="8" w:space="0"/>
            </w:tcBorders>
            <w:shd w:val="clear" w:color="auto" w:fill="FFFFFF"/>
            <w:noWrap w:val="0"/>
            <w:vAlign w:val="center"/>
          </w:tcPr>
          <w:p w14:paraId="7006F565">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公开协议出让、竞价（含线上）、转让%</w:t>
            </w:r>
          </w:p>
        </w:tc>
      </w:tr>
      <w:tr w14:paraId="00754C64">
        <w:tblPrEx>
          <w:tblCellMar>
            <w:top w:w="0" w:type="dxa"/>
            <w:left w:w="108" w:type="dxa"/>
            <w:bottom w:w="0" w:type="dxa"/>
            <w:right w:w="108" w:type="dxa"/>
          </w:tblCellMar>
        </w:tblPrEx>
        <w:trPr>
          <w:trHeight w:val="445" w:hRule="atLeast"/>
        </w:trPr>
        <w:tc>
          <w:tcPr>
            <w:tcW w:w="4283" w:type="dxa"/>
            <w:tcBorders>
              <w:top w:val="single" w:color="000000" w:sz="8" w:space="0"/>
              <w:left w:val="single" w:color="000000" w:sz="8" w:space="0"/>
              <w:bottom w:val="single" w:color="000000" w:sz="8" w:space="0"/>
              <w:right w:val="single" w:color="000000" w:sz="8" w:space="0"/>
            </w:tcBorders>
            <w:noWrap w:val="0"/>
            <w:vAlign w:val="center"/>
          </w:tcPr>
          <w:p w14:paraId="164FD840">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10万以下（含10万）</w:t>
            </w:r>
          </w:p>
        </w:tc>
        <w:tc>
          <w:tcPr>
            <w:tcW w:w="5245" w:type="dxa"/>
            <w:tcBorders>
              <w:top w:val="single" w:color="000000" w:sz="8" w:space="0"/>
              <w:left w:val="nil"/>
              <w:bottom w:val="single" w:color="000000" w:sz="8" w:space="0"/>
              <w:right w:val="single" w:color="000000" w:sz="8" w:space="0"/>
            </w:tcBorders>
            <w:noWrap w:val="0"/>
            <w:vAlign w:val="center"/>
          </w:tcPr>
          <w:p w14:paraId="6181644C">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1.20%</w:t>
            </w:r>
          </w:p>
        </w:tc>
      </w:tr>
      <w:tr w14:paraId="5E9BDC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4EA1D18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10-50（含50万）</w:t>
            </w:r>
          </w:p>
        </w:tc>
        <w:tc>
          <w:tcPr>
            <w:tcW w:w="5245" w:type="dxa"/>
            <w:tcBorders>
              <w:top w:val="nil"/>
              <w:left w:val="nil"/>
              <w:bottom w:val="single" w:color="000000" w:sz="8" w:space="0"/>
              <w:right w:val="single" w:color="000000" w:sz="8" w:space="0"/>
            </w:tcBorders>
            <w:noWrap w:val="0"/>
            <w:vAlign w:val="center"/>
          </w:tcPr>
          <w:p w14:paraId="7BCA4A2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w:t>
            </w:r>
          </w:p>
        </w:tc>
      </w:tr>
      <w:tr w14:paraId="3171D8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510A35D1">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50-100（含100万）</w:t>
            </w:r>
          </w:p>
        </w:tc>
        <w:tc>
          <w:tcPr>
            <w:tcW w:w="5245" w:type="dxa"/>
            <w:tcBorders>
              <w:top w:val="nil"/>
              <w:left w:val="nil"/>
              <w:bottom w:val="single" w:color="000000" w:sz="8" w:space="0"/>
              <w:right w:val="single" w:color="000000" w:sz="8" w:space="0"/>
            </w:tcBorders>
            <w:noWrap w:val="0"/>
            <w:vAlign w:val="center"/>
          </w:tcPr>
          <w:p w14:paraId="4F2A640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0.80%</w:t>
            </w:r>
          </w:p>
        </w:tc>
      </w:tr>
      <w:tr w14:paraId="333DCDA2">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46BF7F7">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100-500（含500万）</w:t>
            </w:r>
          </w:p>
        </w:tc>
        <w:tc>
          <w:tcPr>
            <w:tcW w:w="5245" w:type="dxa"/>
            <w:tcBorders>
              <w:top w:val="nil"/>
              <w:left w:val="nil"/>
              <w:bottom w:val="single" w:color="000000" w:sz="8" w:space="0"/>
              <w:right w:val="single" w:color="000000" w:sz="8" w:space="0"/>
            </w:tcBorders>
            <w:noWrap w:val="0"/>
            <w:vAlign w:val="center"/>
          </w:tcPr>
          <w:p w14:paraId="7CD605F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0.60%</w:t>
            </w:r>
          </w:p>
        </w:tc>
      </w:tr>
      <w:tr w14:paraId="1FC2CCF8">
        <w:tblPrEx>
          <w:tblCellMar>
            <w:top w:w="0" w:type="dxa"/>
            <w:left w:w="108" w:type="dxa"/>
            <w:bottom w:w="0" w:type="dxa"/>
            <w:right w:w="108" w:type="dxa"/>
          </w:tblCellMar>
        </w:tblPrEx>
        <w:trPr>
          <w:trHeight w:val="573" w:hRule="atLeast"/>
        </w:trPr>
        <w:tc>
          <w:tcPr>
            <w:tcW w:w="4283" w:type="dxa"/>
            <w:tcBorders>
              <w:top w:val="nil"/>
              <w:left w:val="single" w:color="000000" w:sz="8" w:space="0"/>
              <w:bottom w:val="single" w:color="000000" w:sz="8" w:space="0"/>
              <w:right w:val="single" w:color="000000" w:sz="8" w:space="0"/>
            </w:tcBorders>
            <w:noWrap w:val="0"/>
            <w:vAlign w:val="center"/>
          </w:tcPr>
          <w:p w14:paraId="192DA55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500-1000（含1000万）</w:t>
            </w:r>
          </w:p>
        </w:tc>
        <w:tc>
          <w:tcPr>
            <w:tcW w:w="5245" w:type="dxa"/>
            <w:tcBorders>
              <w:top w:val="nil"/>
              <w:left w:val="nil"/>
              <w:bottom w:val="single" w:color="000000" w:sz="8" w:space="0"/>
              <w:right w:val="single" w:color="000000" w:sz="8" w:space="0"/>
            </w:tcBorders>
            <w:noWrap w:val="0"/>
            <w:vAlign w:val="center"/>
          </w:tcPr>
          <w:p w14:paraId="35BAEE4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0.40%</w:t>
            </w:r>
          </w:p>
        </w:tc>
      </w:tr>
      <w:tr w14:paraId="0EFE45D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1470B63F">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1000-2000万（含2000万）</w:t>
            </w:r>
          </w:p>
        </w:tc>
        <w:tc>
          <w:tcPr>
            <w:tcW w:w="5245" w:type="dxa"/>
            <w:tcBorders>
              <w:top w:val="nil"/>
              <w:left w:val="nil"/>
              <w:bottom w:val="single" w:color="000000" w:sz="8" w:space="0"/>
              <w:right w:val="single" w:color="000000" w:sz="8" w:space="0"/>
            </w:tcBorders>
            <w:noWrap w:val="0"/>
            <w:vAlign w:val="center"/>
          </w:tcPr>
          <w:p w14:paraId="63E0400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0.25%</w:t>
            </w:r>
          </w:p>
        </w:tc>
      </w:tr>
      <w:tr w14:paraId="733B58B9">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992DFD6">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2000万以上</w:t>
            </w:r>
          </w:p>
        </w:tc>
        <w:tc>
          <w:tcPr>
            <w:tcW w:w="5245" w:type="dxa"/>
            <w:tcBorders>
              <w:top w:val="nil"/>
              <w:left w:val="nil"/>
              <w:bottom w:val="single" w:color="000000" w:sz="8" w:space="0"/>
              <w:right w:val="single" w:color="000000" w:sz="8" w:space="0"/>
            </w:tcBorders>
            <w:noWrap w:val="0"/>
            <w:vAlign w:val="center"/>
          </w:tcPr>
          <w:p w14:paraId="7F3AFE8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0.10%</w:t>
            </w:r>
          </w:p>
        </w:tc>
      </w:tr>
      <w:tr w14:paraId="31580A31">
        <w:tblPrEx>
          <w:tblCellMar>
            <w:top w:w="0" w:type="dxa"/>
            <w:left w:w="108" w:type="dxa"/>
            <w:bottom w:w="0" w:type="dxa"/>
            <w:right w:w="108" w:type="dxa"/>
          </w:tblCellMar>
        </w:tblPrEx>
        <w:trPr>
          <w:trHeight w:val="445"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C07732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差额定律累进计费方式。例如:成交金额为2100万元，计费方式如下:</w:t>
            </w:r>
          </w:p>
        </w:tc>
      </w:tr>
      <w:tr w14:paraId="486A58FD">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FC331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10万元×1.2%=0.12万元</w:t>
            </w:r>
          </w:p>
        </w:tc>
      </w:tr>
      <w:tr w14:paraId="07AD2E59">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648FF6">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40万元×1%=0.4万元</w:t>
            </w:r>
          </w:p>
        </w:tc>
      </w:tr>
      <w:tr w14:paraId="330B12A5">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C6597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50万元×0.8%=0.4万元</w:t>
            </w:r>
          </w:p>
        </w:tc>
      </w:tr>
      <w:tr w14:paraId="6A80F3A6">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2173CE9">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400万元×0.6%=2.4万元</w:t>
            </w:r>
          </w:p>
        </w:tc>
      </w:tr>
      <w:tr w14:paraId="1B45425A">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1C64DFD">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500万元×0.4%=2万元</w:t>
            </w:r>
          </w:p>
        </w:tc>
      </w:tr>
      <w:tr w14:paraId="13CA18EB">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F83D62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1000万元×0.25%=2.5万元</w:t>
            </w:r>
          </w:p>
        </w:tc>
      </w:tr>
      <w:tr w14:paraId="66CCC87C">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BA531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100万元×0.1%=0.1万元</w:t>
            </w:r>
          </w:p>
        </w:tc>
      </w:tr>
      <w:tr w14:paraId="61C2C9D6">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7564FD83">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费用合计=0.12+0.4+0.4+2.4+2+2.5+0.1=7.92（万元)</w:t>
            </w:r>
          </w:p>
        </w:tc>
      </w:tr>
      <w:tr w14:paraId="52F4B5EB">
        <w:tblPrEx>
          <w:tblCellMar>
            <w:top w:w="0" w:type="dxa"/>
            <w:left w:w="108" w:type="dxa"/>
            <w:bottom w:w="0" w:type="dxa"/>
            <w:right w:w="108" w:type="dxa"/>
          </w:tblCellMar>
        </w:tblPrEx>
        <w:trPr>
          <w:trHeight w:val="432"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5A0BA61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备注</w:t>
            </w:r>
          </w:p>
        </w:tc>
      </w:tr>
      <w:tr w14:paraId="0D515370">
        <w:tblPrEx>
          <w:tblCellMar>
            <w:top w:w="0" w:type="dxa"/>
            <w:left w:w="108" w:type="dxa"/>
            <w:bottom w:w="0" w:type="dxa"/>
            <w:right w:w="108" w:type="dxa"/>
          </w:tblCellMar>
        </w:tblPrEx>
        <w:trPr>
          <w:trHeight w:val="307"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7409A60">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1、以成交金额为基数，面向转让方和受让方双向收取</w:t>
            </w:r>
            <w:r>
              <w:rPr>
                <w:rFonts w:hint="eastAsia" w:ascii="仿宋" w:hAnsi="仿宋" w:eastAsia="仿宋" w:cs="宋体"/>
                <w:b/>
                <w:bCs/>
                <w:color w:val="000000"/>
                <w:kern w:val="0"/>
                <w:szCs w:val="21"/>
                <w:lang w:eastAsia="zh-CN" w:bidi="ar"/>
              </w:rPr>
              <w:t>，</w:t>
            </w:r>
            <w:r>
              <w:rPr>
                <w:rFonts w:hint="eastAsia" w:ascii="仿宋" w:hAnsi="仿宋" w:eastAsia="仿宋" w:cs="宋体"/>
                <w:b/>
                <w:bCs/>
                <w:color w:val="000000"/>
                <w:kern w:val="0"/>
                <w:szCs w:val="21"/>
                <w:lang w:val="en-US" w:eastAsia="zh-CN" w:bidi="ar"/>
              </w:rPr>
              <w:t>其中受让方需支付实地勘察费300元/户</w:t>
            </w:r>
            <w:r>
              <w:rPr>
                <w:rFonts w:hint="eastAsia" w:ascii="仿宋" w:hAnsi="仿宋" w:eastAsia="仿宋" w:cs="宋体"/>
                <w:b/>
                <w:bCs/>
                <w:color w:val="000000"/>
                <w:kern w:val="0"/>
                <w:szCs w:val="21"/>
                <w:lang w:bidi="ar"/>
              </w:rPr>
              <w:t>。</w:t>
            </w:r>
          </w:p>
        </w:tc>
      </w:tr>
      <w:tr w14:paraId="5529C5D1">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F08647B">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2、每笔交易服务费最低收费200元；历史审查鉴证及工本费用80元每本。</w:t>
            </w:r>
          </w:p>
        </w:tc>
      </w:tr>
      <w:tr w14:paraId="47479444">
        <w:tblPrEx>
          <w:tblCellMar>
            <w:top w:w="0" w:type="dxa"/>
            <w:left w:w="108" w:type="dxa"/>
            <w:bottom w:w="0" w:type="dxa"/>
            <w:right w:w="108" w:type="dxa"/>
          </w:tblCellMar>
        </w:tblPrEx>
        <w:trPr>
          <w:trHeight w:val="1746"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2478DB25">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3、转出方为农户个人或者村集体，免收转出方该项费用。</w:t>
            </w:r>
          </w:p>
          <w:p w14:paraId="195E3D2F">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4、为坚持“公益性”最大化原则，降低交易双方相关服务费成本，故不单独划分协议成交服务费及竞价成交服务费。</w:t>
            </w:r>
          </w:p>
          <w:p w14:paraId="6646B981">
            <w:pPr>
              <w:widowControl/>
              <w:jc w:val="left"/>
              <w:textAlignment w:val="center"/>
              <w:rPr>
                <w:rFonts w:hint="eastAsia" w:ascii="仿宋" w:hAnsi="仿宋" w:eastAsia="仿宋" w:cs="宋体"/>
                <w:b/>
                <w:bCs/>
                <w:color w:val="000000"/>
                <w:kern w:val="0"/>
                <w:szCs w:val="21"/>
                <w:lang w:eastAsia="zh-CN" w:bidi="ar"/>
              </w:rPr>
            </w:pPr>
            <w:r>
              <w:rPr>
                <w:rFonts w:hint="eastAsia" w:ascii="仿宋" w:hAnsi="仿宋" w:eastAsia="仿宋" w:cs="宋体"/>
                <w:b/>
                <w:bCs/>
                <w:color w:val="000000"/>
                <w:kern w:val="0"/>
                <w:szCs w:val="21"/>
                <w:lang w:bidi="ar"/>
              </w:rPr>
              <w:t>5、协议交易是指在安远县农村产权交易中心进行公开挂网协议完成的农村产权交易。竞价交易服务费是指通过招投标、拍卖、网络竞价等方式进行交易，转让方和受让方在交易完成时应支付的服务费用。</w:t>
            </w:r>
          </w:p>
        </w:tc>
      </w:tr>
    </w:tbl>
    <w:p w14:paraId="165CB0F9">
      <w:pPr>
        <w:numPr>
          <w:ilvl w:val="0"/>
          <w:numId w:val="0"/>
        </w:numPr>
        <w:jc w:val="both"/>
        <w:rPr>
          <w:rFonts w:hint="default" w:ascii="黑体" w:hAnsi="黑体" w:eastAsia="黑体" w:cs="黑体"/>
          <w:b w:val="0"/>
          <w:bCs w:val="0"/>
          <w:sz w:val="32"/>
          <w:szCs w:val="32"/>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08C4773"/>
    <w:rsid w:val="06F67AE1"/>
    <w:rsid w:val="07697D31"/>
    <w:rsid w:val="0A2202CC"/>
    <w:rsid w:val="0B4E34C6"/>
    <w:rsid w:val="0BB14140"/>
    <w:rsid w:val="11FF1DAE"/>
    <w:rsid w:val="12D404D2"/>
    <w:rsid w:val="15022229"/>
    <w:rsid w:val="15B8610B"/>
    <w:rsid w:val="16227A29"/>
    <w:rsid w:val="16CC45CE"/>
    <w:rsid w:val="18E5713F"/>
    <w:rsid w:val="1C6E2E49"/>
    <w:rsid w:val="1D104B3E"/>
    <w:rsid w:val="1D632E00"/>
    <w:rsid w:val="1EA062D6"/>
    <w:rsid w:val="1EE308BF"/>
    <w:rsid w:val="1FC15CC5"/>
    <w:rsid w:val="208409CB"/>
    <w:rsid w:val="21047F36"/>
    <w:rsid w:val="21CD5401"/>
    <w:rsid w:val="233A4603"/>
    <w:rsid w:val="24634140"/>
    <w:rsid w:val="253B0B2E"/>
    <w:rsid w:val="25DF1492"/>
    <w:rsid w:val="25F87A5A"/>
    <w:rsid w:val="28013942"/>
    <w:rsid w:val="2BA06EDF"/>
    <w:rsid w:val="2CE77338"/>
    <w:rsid w:val="2CF27E3B"/>
    <w:rsid w:val="303D0F29"/>
    <w:rsid w:val="311245A1"/>
    <w:rsid w:val="3269113C"/>
    <w:rsid w:val="34C71B41"/>
    <w:rsid w:val="34FE10A6"/>
    <w:rsid w:val="38851BFC"/>
    <w:rsid w:val="3B27789D"/>
    <w:rsid w:val="3C8D17F0"/>
    <w:rsid w:val="452E210D"/>
    <w:rsid w:val="466A5324"/>
    <w:rsid w:val="471A69C9"/>
    <w:rsid w:val="48834F84"/>
    <w:rsid w:val="489568F6"/>
    <w:rsid w:val="48DF1625"/>
    <w:rsid w:val="49324FF8"/>
    <w:rsid w:val="4B182BCD"/>
    <w:rsid w:val="4CE2188D"/>
    <w:rsid w:val="4CEA0599"/>
    <w:rsid w:val="4DB210B7"/>
    <w:rsid w:val="4E8D742E"/>
    <w:rsid w:val="4EF07A0E"/>
    <w:rsid w:val="4F3B7C16"/>
    <w:rsid w:val="51661CE6"/>
    <w:rsid w:val="53E21FCA"/>
    <w:rsid w:val="55B41744"/>
    <w:rsid w:val="55B81234"/>
    <w:rsid w:val="560B6347"/>
    <w:rsid w:val="575E5E0B"/>
    <w:rsid w:val="57671164"/>
    <w:rsid w:val="5B2B4256"/>
    <w:rsid w:val="5B721E85"/>
    <w:rsid w:val="5D446AE5"/>
    <w:rsid w:val="5DC10EA2"/>
    <w:rsid w:val="5DEA664B"/>
    <w:rsid w:val="5F3E6C4E"/>
    <w:rsid w:val="64137F7D"/>
    <w:rsid w:val="64B22C03"/>
    <w:rsid w:val="65FF6A0B"/>
    <w:rsid w:val="66BB7D1F"/>
    <w:rsid w:val="67062A52"/>
    <w:rsid w:val="684C6D1E"/>
    <w:rsid w:val="688C3563"/>
    <w:rsid w:val="6A55309E"/>
    <w:rsid w:val="6B0F149F"/>
    <w:rsid w:val="6BF27CC7"/>
    <w:rsid w:val="6CF941B4"/>
    <w:rsid w:val="6F571B06"/>
    <w:rsid w:val="700E0113"/>
    <w:rsid w:val="7049430D"/>
    <w:rsid w:val="71F27F57"/>
    <w:rsid w:val="73022C2A"/>
    <w:rsid w:val="748F3C31"/>
    <w:rsid w:val="74AF784E"/>
    <w:rsid w:val="778D1C32"/>
    <w:rsid w:val="788F055B"/>
    <w:rsid w:val="78D97BCD"/>
    <w:rsid w:val="79782BD2"/>
    <w:rsid w:val="799D63CF"/>
    <w:rsid w:val="79E5540E"/>
    <w:rsid w:val="7A8D0632"/>
    <w:rsid w:val="7B6C0247"/>
    <w:rsid w:val="7B8E01BE"/>
    <w:rsid w:val="7D2F7E80"/>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1420</Words>
  <Characters>1630</Characters>
  <Lines>0</Lines>
  <Paragraphs>0</Paragraphs>
  <TotalTime>1</TotalTime>
  <ScaleCrop>false</ScaleCrop>
  <LinksUpToDate>false</LinksUpToDate>
  <CharactersWithSpaces>1651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黄雪平</cp:lastModifiedBy>
  <cp:lastPrinted>2024-11-20T03:24:00Z</cp:lastPrinted>
  <dcterms:modified xsi:type="dcterms:W3CDTF">2026-03-09T01:26:19Z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E1B45FEEC68E4042B4D46B6B7E56FFDF_13</vt:lpwstr>
  </property>
  <property fmtid="{D5CDD505-2E9C-101B-9397-08002B2CF9AE}" pid="4" name="KSOTemplateDocerSaveRecord">
    <vt:lpwstr>eyJoZGlkIjoiNjM1ZDYxMzkyOWM2YTJkODZmMjcxN2RiNWU5Mzc2MWUiLCJ1c2VySWQiOiI4MTYxMjQ5NTkifQ==</vt:lpwstr>
  </property>
</Properties>
</file>