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8879">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511777A">
      <w:pPr>
        <w:pStyle w:val="5"/>
        <w:rPr>
          <w:color w:val="auto"/>
          <w:highlight w:val="none"/>
          <w:lang w:val="en-US" w:eastAsia="zh-CN"/>
        </w:rPr>
      </w:pPr>
    </w:p>
    <w:p w14:paraId="2D30893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农村集体资源性资产出租合同</w:t>
      </w:r>
    </w:p>
    <w:p w14:paraId="74F22E85">
      <w:pPr>
        <w:keepNext w:val="0"/>
        <w:keepLines w:val="0"/>
        <w:widowControl/>
        <w:suppressLineNumbers w:val="0"/>
        <w:jc w:val="center"/>
        <w:rPr>
          <w:rFonts w:hint="eastAsia" w:ascii="黑体" w:hAnsi="黑体" w:eastAsia="黑体" w:cs="黑体"/>
          <w:color w:val="auto"/>
          <w:sz w:val="24"/>
          <w:szCs w:val="24"/>
          <w:highlight w:val="none"/>
        </w:rPr>
      </w:pPr>
    </w:p>
    <w:p w14:paraId="34CDD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为维护甲乙双方合法权益，根据《中华人民共和国民法典》《中华人民共和国合同法》等法律法规，遵循平等、自愿、公平、诚信原则，经双方协商一致，订立本合同。</w:t>
      </w:r>
    </w:p>
    <w:p w14:paraId="2BCB7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5082A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东方市大田镇报白村股份经济合作社     </w:t>
      </w:r>
    </w:p>
    <w:p w14:paraId="4D403B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社会信用代码: </w:t>
      </w:r>
      <w:r>
        <w:rPr>
          <w:rFonts w:hint="eastAsia" w:ascii="宋体" w:hAnsi="宋体" w:eastAsia="宋体" w:cs="宋体"/>
          <w:b w:val="0"/>
          <w:bCs/>
          <w:color w:val="auto"/>
          <w:sz w:val="24"/>
          <w:szCs w:val="24"/>
          <w:highlight w:val="none"/>
          <w:u w:val="single"/>
        </w:rPr>
        <w:t xml:space="preserve"> N2469007MF01591638                </w:t>
      </w:r>
    </w:p>
    <w:p w14:paraId="73345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0F07F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符锦荣                </w:t>
      </w:r>
      <w:r>
        <w:rPr>
          <w:rFonts w:hint="eastAsia" w:ascii="宋体" w:hAnsi="宋体" w:eastAsia="宋体" w:cs="宋体"/>
          <w:b w:val="0"/>
          <w:bCs/>
          <w:color w:val="auto"/>
          <w:sz w:val="24"/>
          <w:szCs w:val="24"/>
          <w:highlight w:val="none"/>
        </w:rPr>
        <w:t xml:space="preserve">  </w:t>
      </w:r>
    </w:p>
    <w:p w14:paraId="2339A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460007197002128019                     </w:t>
      </w:r>
    </w:p>
    <w:p w14:paraId="065B9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海南省东方市大田镇报白村       </w:t>
      </w:r>
      <w:r>
        <w:rPr>
          <w:rFonts w:hint="eastAsia" w:ascii="宋体" w:hAnsi="宋体" w:eastAsia="宋体" w:cs="宋体"/>
          <w:b w:val="0"/>
          <w:bCs/>
          <w:color w:val="auto"/>
          <w:sz w:val="24"/>
          <w:szCs w:val="24"/>
          <w:highlight w:val="none"/>
        </w:rPr>
        <w:t xml:space="preserve"> 联系电话：</w:t>
      </w:r>
      <w:r>
        <w:rPr>
          <w:rFonts w:hint="eastAsia" w:ascii="宋体" w:hAnsi="宋体" w:eastAsia="宋体" w:cs="宋体"/>
          <w:b w:val="0"/>
          <w:bCs/>
          <w:color w:val="auto"/>
          <w:sz w:val="24"/>
          <w:szCs w:val="24"/>
          <w:highlight w:val="none"/>
          <w:u w:val="single"/>
        </w:rPr>
        <w:t xml:space="preserve">   13976352013            </w:t>
      </w:r>
    </w:p>
    <w:p w14:paraId="2C029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经营主体类型：□自然人 □农村承包经营户 □农民专业合作社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家庭农场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农村集体经济组织 □公司 □其他:</w:t>
      </w:r>
      <w:r>
        <w:rPr>
          <w:rFonts w:hint="eastAsia" w:ascii="宋体" w:hAnsi="宋体" w:eastAsia="宋体" w:cs="宋体"/>
          <w:b w:val="0"/>
          <w:bCs/>
          <w:color w:val="auto"/>
          <w:sz w:val="24"/>
          <w:szCs w:val="24"/>
          <w:highlight w:val="none"/>
          <w:u w:val="single"/>
        </w:rPr>
        <w:t xml:space="preserve">          </w:t>
      </w:r>
    </w:p>
    <w:p w14:paraId="2C3F0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1A0F6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乙方（承租方）：</w:t>
      </w:r>
      <w:r>
        <w:rPr>
          <w:rFonts w:hint="eastAsia" w:ascii="宋体" w:hAnsi="宋体" w:eastAsia="宋体" w:cs="宋体"/>
          <w:b w:val="0"/>
          <w:bCs/>
          <w:color w:val="auto"/>
          <w:sz w:val="24"/>
          <w:szCs w:val="24"/>
          <w:highlight w:val="none"/>
          <w:u w:val="single"/>
        </w:rPr>
        <w:t xml:space="preserve">                 </w:t>
      </w:r>
    </w:p>
    <w:p w14:paraId="4F941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□社会信用代码：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7991E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□身份证号码: </w:t>
      </w:r>
      <w:r>
        <w:rPr>
          <w:rFonts w:hint="eastAsia" w:ascii="宋体" w:hAnsi="宋体" w:eastAsia="宋体" w:cs="宋体"/>
          <w:b w:val="0"/>
          <w:bCs/>
          <w:color w:val="auto"/>
          <w:sz w:val="24"/>
          <w:szCs w:val="24"/>
          <w:highlight w:val="none"/>
          <w:u w:val="single"/>
        </w:rPr>
        <w:t xml:space="preserve">                  </w:t>
      </w:r>
    </w:p>
    <w:p w14:paraId="7DF34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p>
    <w:p w14:paraId="62FC4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25D35A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p>
    <w:p w14:paraId="7DB56B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经营主体类型：□自然人 □农村承包经营户 □农民专业合作社 □家庭农场 □公司 □其他:</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4F38FD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出租标的及用途</w:t>
      </w:r>
    </w:p>
    <w:p w14:paraId="59956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标的物 ：甲方将位于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cs="宋体"/>
          <w:color w:val="auto"/>
          <w:sz w:val="24"/>
          <w:szCs w:val="24"/>
          <w:highlight w:val="none"/>
          <w:u w:val="single"/>
          <w:lang w:val="en-US" w:eastAsia="zh-CN"/>
        </w:rPr>
        <w:t xml:space="preserve">  大田  </w:t>
      </w:r>
      <w:r>
        <w:rPr>
          <w:rFonts w:hint="eastAsia" w:ascii="宋体" w:hAnsi="宋体" w:eastAsia="宋体" w:cs="宋体"/>
          <w:color w:val="auto"/>
          <w:sz w:val="24"/>
          <w:szCs w:val="24"/>
          <w:highlight w:val="none"/>
        </w:rPr>
        <w:t>镇</w:t>
      </w:r>
      <w:r>
        <w:rPr>
          <w:rFonts w:hint="eastAsia" w:ascii="宋体" w:hAnsi="宋体" w:cs="宋体"/>
          <w:color w:val="auto"/>
          <w:sz w:val="24"/>
          <w:szCs w:val="24"/>
          <w:highlight w:val="none"/>
          <w:u w:val="single"/>
          <w:lang w:val="en-US" w:eastAsia="zh-CN"/>
        </w:rPr>
        <w:t xml:space="preserve">   报白  </w:t>
      </w:r>
      <w:r>
        <w:rPr>
          <w:rFonts w:hint="eastAsia" w:ascii="宋体" w:hAnsi="宋体" w:eastAsia="宋体" w:cs="宋体"/>
          <w:color w:val="auto"/>
          <w:sz w:val="24"/>
          <w:szCs w:val="24"/>
          <w:highlight w:val="none"/>
        </w:rPr>
        <w:t>村的集体</w:t>
      </w:r>
      <w:r>
        <w:rPr>
          <w:rFonts w:hint="eastAsia" w:ascii="宋体" w:hAnsi="宋体" w:cs="宋体"/>
          <w:color w:val="auto"/>
          <w:sz w:val="24"/>
          <w:szCs w:val="24"/>
          <w:highlight w:val="none"/>
          <w:lang w:val="en-US" w:eastAsia="zh-CN"/>
        </w:rPr>
        <w:t>资产：鱼塘猪圈</w:t>
      </w:r>
      <w:r>
        <w:rPr>
          <w:rFonts w:hint="eastAsia" w:ascii="宋体" w:hAnsi="宋体" w:eastAsia="宋体" w:cs="宋体"/>
          <w:color w:val="auto"/>
          <w:sz w:val="24"/>
          <w:szCs w:val="24"/>
          <w:highlight w:val="none"/>
        </w:rPr>
        <w:t>出租给乙方，总面积</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5.15 </w:t>
      </w:r>
      <w:r>
        <w:rPr>
          <w:rFonts w:hint="eastAsia" w:ascii="宋体" w:hAnsi="宋体" w:eastAsia="宋体" w:cs="宋体"/>
          <w:color w:val="auto"/>
          <w:sz w:val="24"/>
          <w:szCs w:val="24"/>
          <w:highlight w:val="none"/>
        </w:rPr>
        <w:t>亩，四至界限为：东至</w:t>
      </w:r>
      <w:r>
        <w:rPr>
          <w:rFonts w:hint="eastAsia" w:ascii="宋体" w:hAnsi="宋体" w:cs="宋体"/>
          <w:color w:val="auto"/>
          <w:sz w:val="24"/>
          <w:szCs w:val="24"/>
          <w:highlight w:val="none"/>
          <w:u w:val="single"/>
          <w:lang w:val="en-US" w:eastAsia="zh-CN"/>
        </w:rPr>
        <w:t xml:space="preserve"> 沉香地 </w:t>
      </w:r>
      <w:r>
        <w:rPr>
          <w:rFonts w:hint="eastAsia" w:ascii="宋体" w:hAnsi="宋体" w:eastAsia="宋体" w:cs="宋体"/>
          <w:color w:val="auto"/>
          <w:sz w:val="24"/>
          <w:szCs w:val="24"/>
          <w:highlight w:val="none"/>
        </w:rPr>
        <w:t>、南至</w:t>
      </w:r>
      <w:r>
        <w:rPr>
          <w:rFonts w:hint="eastAsia" w:ascii="宋体" w:hAnsi="宋体" w:cs="宋体"/>
          <w:color w:val="auto"/>
          <w:sz w:val="24"/>
          <w:szCs w:val="24"/>
          <w:highlight w:val="none"/>
          <w:u w:val="single"/>
          <w:lang w:val="en-US" w:eastAsia="zh-CN"/>
        </w:rPr>
        <w:t xml:space="preserve">  水利渠道</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u w:val="single"/>
          <w:lang w:val="en-US" w:eastAsia="zh-CN"/>
        </w:rPr>
        <w:t xml:space="preserve">  村主干道</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u w:val="single"/>
          <w:lang w:val="en-US" w:eastAsia="zh-CN"/>
        </w:rPr>
        <w:t xml:space="preserve">  符春弟家  </w:t>
      </w:r>
      <w:r>
        <w:rPr>
          <w:rFonts w:hint="eastAsia" w:ascii="宋体" w:hAnsi="宋体" w:eastAsia="宋体" w:cs="宋体"/>
          <w:color w:val="auto"/>
          <w:sz w:val="24"/>
          <w:szCs w:val="24"/>
          <w:highlight w:val="none"/>
        </w:rPr>
        <w:t>。</w:t>
      </w:r>
    </w:p>
    <w:p w14:paraId="5A40B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2.用途 ：乙方承租资产用于</w:t>
      </w:r>
      <w:r>
        <w:rPr>
          <w:rFonts w:hint="eastAsia" w:ascii="宋体" w:hAnsi="宋体" w:cs="宋体"/>
          <w:color w:val="auto"/>
          <w:sz w:val="24"/>
          <w:szCs w:val="24"/>
          <w:highlight w:val="none"/>
          <w:u w:val="single"/>
          <w:lang w:val="en-US" w:eastAsia="zh-CN"/>
        </w:rPr>
        <w:t xml:space="preserve"> 养鱼或仓储</w:t>
      </w:r>
      <w:r>
        <w:rPr>
          <w:rFonts w:hint="eastAsia" w:ascii="宋体" w:hAnsi="宋体" w:cs="宋体"/>
          <w:color w:val="auto"/>
          <w:sz w:val="24"/>
          <w:szCs w:val="24"/>
          <w:highlight w:val="none"/>
          <w:lang w:val="en-US" w:eastAsia="zh-CN"/>
        </w:rPr>
        <w:t>，未经行政审批不得从事特种养殖或改变用途。</w:t>
      </w:r>
    </w:p>
    <w:p w14:paraId="0E1C390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第二条  租赁期限与交付</w:t>
      </w:r>
    </w:p>
    <w:p w14:paraId="624BC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1.租赁期限 ：</w:t>
      </w:r>
      <w:r>
        <w:rPr>
          <w:rFonts w:hint="eastAsia" w:ascii="宋体" w:hAnsi="宋体" w:cs="宋体"/>
          <w:color w:val="auto"/>
          <w:sz w:val="24"/>
          <w:szCs w:val="24"/>
          <w:highlight w:val="none"/>
          <w:u w:val="single"/>
          <w:lang w:val="en-US" w:eastAsia="zh-CN"/>
        </w:rPr>
        <w:t xml:space="preserve"> 20 </w:t>
      </w:r>
      <w:r>
        <w:rPr>
          <w:rFonts w:hint="eastAsia" w:ascii="宋体" w:hAnsi="宋体" w:cs="宋体"/>
          <w:color w:val="auto"/>
          <w:sz w:val="24"/>
          <w:szCs w:val="24"/>
          <w:highlight w:val="none"/>
          <w:lang w:val="en-US" w:eastAsia="zh-CN"/>
        </w:rPr>
        <w:t>年，自_____年____月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年___月____日止。  </w:t>
      </w:r>
    </w:p>
    <w:p w14:paraId="26958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2.交付时间 ：甲方应于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日前完成资产交付。</w:t>
      </w:r>
    </w:p>
    <w:p w14:paraId="21A0037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第三条  租金及支付方式</w:t>
      </w:r>
    </w:p>
    <w:p w14:paraId="60218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1.租金标准 ：人民币__________元/年（大写：__________）。  </w:t>
      </w:r>
    </w:p>
    <w:p w14:paraId="68BAC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 ：按__</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___年一付，每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递增</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 xml:space="preserve">。首期租金于__________年__________月__________日前支付，后续租金应提前30日支付至甲方指定账户：  </w:t>
      </w:r>
    </w:p>
    <w:p w14:paraId="25825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开户名：</w:t>
      </w:r>
      <w:r>
        <w:rPr>
          <w:rFonts w:hint="eastAsia" w:ascii="宋体" w:hAnsi="宋体" w:cs="宋体"/>
          <w:color w:val="auto"/>
          <w:sz w:val="24"/>
          <w:szCs w:val="24"/>
          <w:highlight w:val="none"/>
          <w:u w:val="single"/>
          <w:lang w:val="en-US" w:eastAsia="zh-CN"/>
        </w:rPr>
        <w:t xml:space="preserve"> 东方市大田镇报白村股份经济合作社        </w:t>
      </w:r>
    </w:p>
    <w:p w14:paraId="66B6B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r>
        <w:rPr>
          <w:rFonts w:hint="eastAsia" w:ascii="宋体" w:hAnsi="宋体" w:cs="宋体"/>
          <w:color w:val="auto"/>
          <w:sz w:val="24"/>
          <w:szCs w:val="24"/>
          <w:highlight w:val="none"/>
          <w:u w:val="single"/>
          <w:lang w:val="en-US" w:eastAsia="zh-CN"/>
        </w:rPr>
        <w:t xml:space="preserve">  海南省农商银行大田支行                 </w:t>
      </w:r>
      <w:r>
        <w:rPr>
          <w:rFonts w:hint="eastAsia" w:ascii="宋体" w:hAnsi="宋体" w:eastAsia="宋体" w:cs="宋体"/>
          <w:color w:val="auto"/>
          <w:sz w:val="24"/>
          <w:szCs w:val="24"/>
          <w:highlight w:val="none"/>
        </w:rPr>
        <w:t xml:space="preserve"> </w:t>
      </w:r>
    </w:p>
    <w:p w14:paraId="00AEF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1013520800000113                         </w:t>
      </w:r>
    </w:p>
    <w:p w14:paraId="75822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none"/>
          <w:lang w:val="en-US" w:eastAsia="zh-CN"/>
        </w:rPr>
        <w:t>3.其他：</w:t>
      </w:r>
      <w:r>
        <w:rPr>
          <w:rFonts w:hint="default" w:ascii="宋体" w:hAnsi="宋体" w:cs="宋体"/>
          <w:color w:val="auto"/>
          <w:sz w:val="24"/>
          <w:szCs w:val="24"/>
          <w:highlight w:val="none"/>
          <w:u w:val="single"/>
          <w:lang w:val="en-US" w:eastAsia="zh-CN"/>
        </w:rPr>
        <w:t xml:space="preserve"> 首笔交易租金由乙方转账付款到东方农村产权交易中心，再由东方农村产权交易中心将首笔交易款一次性全额通过银行转账方式划转给甲方，余下未付年租金在合约期内由乙方直接向甲方支付。</w:t>
      </w:r>
    </w:p>
    <w:p w14:paraId="7754A5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双方权利义务</w:t>
      </w:r>
    </w:p>
    <w:p w14:paraId="0EEA35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 xml:space="preserve">权利  </w:t>
      </w:r>
    </w:p>
    <w:p w14:paraId="4B214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要求乙方按合同约定支付租金；</w:t>
      </w:r>
    </w:p>
    <w:p w14:paraId="049567D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监督乙方按合同约定的用途依法合理利用和保护出租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9CDC94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制止乙方损害出租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34D541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租赁期限届满后收回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70A7A7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要求猪圈只能仓储不能养殖，如养猪、牛、羊、鸡、鸭等。</w:t>
      </w:r>
    </w:p>
    <w:p w14:paraId="03B2E8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）甲方的义务</w:t>
      </w:r>
    </w:p>
    <w:p w14:paraId="3FBB1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确保</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权属清晰，无纠纷；</w:t>
      </w:r>
    </w:p>
    <w:p w14:paraId="2A51E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5E623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不得干涉和妨碍乙方依法进行的生产经营活动；  </w:t>
      </w:r>
    </w:p>
    <w:p w14:paraId="6D4C6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DA0C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乙方的权利</w:t>
      </w:r>
    </w:p>
    <w:p w14:paraId="2A27E3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1.要求甲方按照合同约定交付出租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ED484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2.在合同约定的期限内占有</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，自主开展生产经营并取得收益；</w:t>
      </w:r>
    </w:p>
    <w:p w14:paraId="3A0B2B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3.租赁期限届满，有权在同等条件下优先承租；</w:t>
      </w:r>
    </w:p>
    <w:p w14:paraId="0795A1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09E7D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）乙方的义务</w:t>
      </w:r>
    </w:p>
    <w:p w14:paraId="003692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1.按照合同约定及时接受出租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并按照约定向甲方支付租金；</w:t>
      </w:r>
    </w:p>
    <w:p w14:paraId="58CFD4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2.在法律法规政策规定和合同约定允许范围内合理利用出租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不得</w:t>
      </w:r>
      <w:r>
        <w:rPr>
          <w:rFonts w:hint="eastAsia" w:ascii="宋体" w:hAnsi="宋体" w:eastAsia="宋体" w:cs="宋体"/>
          <w:color w:val="auto"/>
          <w:sz w:val="24"/>
          <w:szCs w:val="24"/>
          <w:highlight w:val="none"/>
          <w:lang w:val="en-US" w:eastAsia="zh-CN"/>
        </w:rPr>
        <w:t>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4891D3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3.依据有关法律法规保护出租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，禁止</w:t>
      </w:r>
      <w:r>
        <w:rPr>
          <w:rFonts w:hint="eastAsia" w:ascii="宋体" w:hAnsi="宋体" w:cs="宋体"/>
          <w:color w:val="auto"/>
          <w:sz w:val="24"/>
          <w:szCs w:val="24"/>
          <w:highlight w:val="none"/>
          <w:lang w:val="en-US" w:eastAsia="zh-CN"/>
        </w:rPr>
        <w:t>私自</w:t>
      </w:r>
      <w:r>
        <w:rPr>
          <w:rFonts w:hint="eastAsia" w:ascii="宋体" w:hAnsi="宋体" w:eastAsia="宋体" w:cs="宋体"/>
          <w:color w:val="auto"/>
          <w:sz w:val="24"/>
          <w:szCs w:val="24"/>
          <w:highlight w:val="none"/>
          <w:lang w:val="en-US" w:eastAsia="zh-CN"/>
        </w:rPr>
        <w:t>转租、私挖取土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挖砂、破坏生态，违者承担法律责任； </w:t>
      </w:r>
    </w:p>
    <w:p w14:paraId="4043B8C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合同签订后，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应向</w:t>
      </w:r>
      <w:r>
        <w:rPr>
          <w:rFonts w:hint="eastAsia" w:ascii="宋体" w:hAnsi="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lang w:val="en-US" w:eastAsia="zh-CN"/>
        </w:rPr>
        <w:t>方一次性支付相当于一年租金（具体以最终成交价为准）的履约保证金，合同履行至最后一年时，该保证金可用于抵扣当年应缴纳</w:t>
      </w:r>
      <w:r>
        <w:rPr>
          <w:rFonts w:hint="eastAsia" w:ascii="宋体" w:hAnsi="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lang w:val="en-US" w:eastAsia="zh-CN"/>
        </w:rPr>
        <w:t>租金。抵扣后，若保证金高于最后一年租金，</w:t>
      </w:r>
      <w:r>
        <w:rPr>
          <w:rFonts w:hint="eastAsia" w:ascii="宋体" w:hAnsi="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lang w:val="en-US" w:eastAsia="zh-CN"/>
        </w:rPr>
        <w:t>方应在7日内将差额无息退还给</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；若保证金低于最后一年租金，</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 xml:space="preserve">应在7日内将差额补齐 </w:t>
      </w:r>
      <w:r>
        <w:rPr>
          <w:rFonts w:hint="eastAsia" w:ascii="宋体" w:hAnsi="宋体" w:eastAsia="宋体" w:cs="宋体"/>
          <w:color w:val="auto"/>
          <w:sz w:val="24"/>
          <w:szCs w:val="24"/>
          <w:highlight w:val="none"/>
          <w:lang w:val="en-US" w:eastAsia="zh-CN"/>
        </w:rPr>
        <w:t xml:space="preserve">。      </w:t>
      </w:r>
    </w:p>
    <w:p w14:paraId="5616AA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14:paraId="0085EA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一 ）甲方同意乙方依法</w:t>
      </w:r>
    </w:p>
    <w:p w14:paraId="3B7F4D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□建设农业生产附属、配套设施</w:t>
      </w:r>
    </w:p>
    <w:p w14:paraId="3B3AC4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 xml:space="preserve">经营权融资担保  </w:t>
      </w:r>
    </w:p>
    <w:p w14:paraId="41A3F7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□再</w:t>
      </w:r>
      <w:bookmarkStart w:id="0" w:name="_GoBack"/>
      <w:bookmarkEnd w:id="0"/>
      <w:r>
        <w:rPr>
          <w:rFonts w:hint="eastAsia" w:ascii="宋体" w:hAnsi="宋体" w:eastAsia="宋体" w:cs="宋体"/>
          <w:color w:val="auto"/>
          <w:sz w:val="24"/>
          <w:szCs w:val="24"/>
          <w:highlight w:val="none"/>
          <w:lang w:val="en-US" w:eastAsia="zh-CN"/>
        </w:rPr>
        <w:t>流转</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经营权</w:t>
      </w:r>
    </w:p>
    <w:p w14:paraId="6A4C3E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2737C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（二）该出租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的财政补贴等归属：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2BF94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□缴纳 □不缴纳  </w:t>
      </w:r>
      <w:r>
        <w:rPr>
          <w:rFonts w:hint="eastAsia" w:ascii="宋体" w:hAnsi="宋体" w:cs="宋体"/>
          <w:color w:val="auto"/>
          <w:sz w:val="24"/>
          <w:szCs w:val="24"/>
          <w:highlight w:val="none"/>
          <w:lang w:val="en-US" w:eastAsia="zh-CN"/>
        </w:rPr>
        <w:t>风险</w:t>
      </w:r>
      <w:r>
        <w:rPr>
          <w:rFonts w:hint="eastAsia" w:ascii="宋体" w:hAnsi="宋体" w:eastAsia="宋体" w:cs="宋体"/>
          <w:color w:val="auto"/>
          <w:sz w:val="24"/>
          <w:szCs w:val="24"/>
          <w:highlight w:val="none"/>
          <w:lang w:val="en-US" w:eastAsia="zh-CN"/>
        </w:rPr>
        <w:t>保</w:t>
      </w:r>
      <w:r>
        <w:rPr>
          <w:rFonts w:hint="eastAsia" w:ascii="宋体" w:hAnsi="宋体" w:cs="宋体"/>
          <w:color w:val="auto"/>
          <w:sz w:val="24"/>
          <w:szCs w:val="24"/>
          <w:highlight w:val="none"/>
          <w:lang w:val="en-US" w:eastAsia="zh-CN"/>
        </w:rPr>
        <w:t>障</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  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），合同到期后的处理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CBFDF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（四）本合同期限内， 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被依法征收、征用、占用时，有关地上附着物补偿费的归属：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30470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（五）其他事项：</w:t>
      </w:r>
      <w:r>
        <w:rPr>
          <w:rFonts w:hint="eastAsia" w:ascii="宋体" w:hAnsi="宋体" w:eastAsia="宋体" w:cs="宋体"/>
          <w:color w:val="auto"/>
          <w:sz w:val="24"/>
          <w:szCs w:val="24"/>
          <w:highlight w:val="none"/>
          <w:u w:val="single"/>
          <w:lang w:val="en-US" w:eastAsia="zh-CN"/>
        </w:rPr>
        <w:t xml:space="preserve"> 到期后，</w:t>
      </w:r>
      <w:r>
        <w:rPr>
          <w:rFonts w:hint="eastAsia" w:ascii="宋体" w:hAnsi="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lang w:val="en-US" w:eastAsia="zh-CN"/>
        </w:rPr>
        <w:t>附属物归村委，并10日内退场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16BCA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条 不可抗力与合同解除</w:t>
      </w:r>
    </w:p>
    <w:p w14:paraId="041E9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一）合同有效期间，因不可抗力因素致使合同全部不能履行时， 本合同自动终止，甲方将合同终止日至租赁到期日的期限内已收取的 租金退还给乙方；致使合同部分不能履行的，其他部分继续履行，租金可以作相应调整。</w:t>
      </w:r>
    </w:p>
    <w:p w14:paraId="1DA68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（二）如乙方在合同期满后需要继续经营该出租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，必须在合同期满前     日内书面向甲方提出申请。如乙方不再继续经营的，必须在合同期满前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日内书面通知甲方，并在合同期满后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日内将原出租的</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交还给甲方。</w:t>
      </w:r>
    </w:p>
    <w:p w14:paraId="415A2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（三）合同到期或者未到期由甲方依法提前收回出租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时， 乙方依法投资建设的农业生产附属、配套设施处置方式：</w:t>
      </w:r>
    </w:p>
    <w:p w14:paraId="2B16D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□由甲方无偿处置。</w:t>
      </w:r>
    </w:p>
    <w:p w14:paraId="15CFB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□经有资质的第三方评估后，由甲方支付价款购买。</w:t>
      </w:r>
    </w:p>
    <w:p w14:paraId="26840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□经双方协商后，由甲方支付价款购买。</w:t>
      </w:r>
    </w:p>
    <w:p w14:paraId="17C7F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□由乙方恢复原状。</w:t>
      </w:r>
    </w:p>
    <w:p w14:paraId="6CD68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□其他:</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7BE46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  违约责任</w:t>
      </w:r>
    </w:p>
    <w:p w14:paraId="5FC2D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（一）任何一方违约给对方造成损失的，违约方应承担赔偿责任。</w:t>
      </w:r>
    </w:p>
    <w:p w14:paraId="6D0AE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（二）甲方应按合同规定按时向乙方交付</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 逾期一日应向乙方支付年租金的万分之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乙方有权解除合同，甲方应当赔偿损失。</w:t>
      </w:r>
    </w:p>
    <w:p w14:paraId="5D8F7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（三）甲方出租的</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存在权属纠纷或经济纠纷，致使合同全部或部分不能履行的，甲方应当赔偿损失。</w:t>
      </w:r>
    </w:p>
    <w:p w14:paraId="7BC6D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（四）甲方违反合同约定擅自干涉和破坏乙方的生产经营,致使乙方无法进行正常的生产经营活动的，乙方有权解除合同，甲方应当赔偿损失。</w:t>
      </w:r>
    </w:p>
    <w:p w14:paraId="110AD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（五）乙方应按照合同规定按时足额向甲方支付租金，逾期一日乙方应向甲方支付年租金的万分之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 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日，甲方有权解除合同，乙方应当赔偿损失。</w:t>
      </w:r>
    </w:p>
    <w:p w14:paraId="78745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（六）乙方如私自在承包区域内取土或未经甲方及相关审批部门同意，私自改变标的用途和结构、破坏水利等基本设施或给</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造成永久性损害的，甲方有权解除合同，收回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乙方应当赔偿对甲方造成的损失，并承担相关法律责任。</w:t>
      </w:r>
    </w:p>
    <w:p w14:paraId="32852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（七）合同期限届满的， 乙方应当按照合同约定将原出租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交还给甲方，逾期一日应向甲方支付年租金的万分之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作为违约金。</w:t>
      </w:r>
    </w:p>
    <w:p w14:paraId="255D1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争议解决</w:t>
      </w:r>
    </w:p>
    <w:p w14:paraId="6E917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本合同履行中发生争议，双方应协商解决；协商不成的，可向__________仲裁委员会申请仲裁，或向甲方所在地人民法院起诉。</w:t>
      </w:r>
    </w:p>
    <w:p w14:paraId="0D6E25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其他条款</w:t>
      </w:r>
    </w:p>
    <w:p w14:paraId="6ADD9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一）本合同未尽事宜，经甲方、乙方协商一致后可签订补充协议。补充协议与本合同具有同等法律效力。</w:t>
      </w:r>
    </w:p>
    <w:p w14:paraId="30A56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补充条款（可另附件）：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050D7B7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本合同自甲乙双方签字、盖章或者按指印之日起生效。本合同一式</w:t>
      </w:r>
      <w:r>
        <w:rPr>
          <w:rFonts w:hint="eastAsia" w:ascii="宋体" w:hAnsi="宋体" w:eastAsia="宋体" w:cs="宋体"/>
          <w:color w:val="auto"/>
          <w:sz w:val="24"/>
          <w:szCs w:val="24"/>
          <w:highlight w:val="none"/>
          <w:u w:val="single"/>
          <w:lang w:eastAsia="zh-CN"/>
        </w:rPr>
        <w:t xml:space="preserve">   </w:t>
      </w:r>
    </w:p>
    <w:p w14:paraId="394365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份，由甲方、乙方、农村集体经济组织、乡（镇）人民政府</w:t>
      </w:r>
      <w:r>
        <w:rPr>
          <w:rFonts w:hint="eastAsia" w:ascii="宋体" w:hAnsi="宋体" w:cs="宋体"/>
          <w:color w:val="auto"/>
          <w:sz w:val="24"/>
          <w:szCs w:val="24"/>
          <w:highlight w:val="none"/>
          <w:lang w:val="en-US" w:eastAsia="zh-CN"/>
        </w:rPr>
        <w:t>农业</w:t>
      </w:r>
      <w:r>
        <w:rPr>
          <w:rFonts w:hint="eastAsia" w:ascii="宋体" w:hAnsi="宋体" w:eastAsia="宋体" w:cs="宋体"/>
          <w:color w:val="auto"/>
          <w:sz w:val="24"/>
          <w:szCs w:val="24"/>
          <w:highlight w:val="none"/>
          <w:lang w:eastAsia="zh-CN"/>
        </w:rPr>
        <w:t>管理部门、</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，各执一份。</w:t>
      </w:r>
    </w:p>
    <w:p w14:paraId="0BE087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3FA105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4995B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hAnsiTheme="minorHAnsi" w:eastAsiaTheme="minorEastAsia" w:cstheme="minorBidi"/>
          <w:sz w:val="21"/>
        </w:rPr>
      </w:pPr>
    </w:p>
    <w:p w14:paraId="335641AE">
      <w:pPr>
        <w:spacing w:line="312" w:lineRule="auto"/>
        <w:rPr>
          <w:rFonts w:ascii="Arial" w:hAnsiTheme="minorHAnsi" w:eastAsiaTheme="minorEastAsia" w:cstheme="minorBidi"/>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hAnsiTheme="minorHAnsi" w:eastAsiaTheme="minorEastAsia" w:cstheme="minorBidi"/>
          <w:sz w:val="21"/>
        </w:rPr>
      </w:pPr>
    </w:p>
    <w:p w14:paraId="6E09B94E">
      <w:pPr>
        <w:spacing w:line="272" w:lineRule="auto"/>
        <w:rPr>
          <w:rFonts w:ascii="Arial" w:hAnsiTheme="minorHAnsi" w:eastAsiaTheme="minorEastAsia" w:cstheme="minorBidi"/>
          <w:sz w:val="21"/>
        </w:rPr>
      </w:pPr>
    </w:p>
    <w:p w14:paraId="2B0D2060">
      <w:pPr>
        <w:spacing w:line="272" w:lineRule="auto"/>
        <w:rPr>
          <w:rFonts w:ascii="Arial" w:hAnsiTheme="minorHAnsi" w:eastAsiaTheme="minorEastAsia" w:cstheme="minorBidi"/>
          <w:sz w:val="21"/>
        </w:rPr>
      </w:pPr>
    </w:p>
    <w:p w14:paraId="66CCF041">
      <w:pPr>
        <w:spacing w:line="272" w:lineRule="auto"/>
        <w:rPr>
          <w:rFonts w:ascii="Arial" w:hAnsiTheme="minorHAnsi" w:eastAsiaTheme="minorEastAsia" w:cstheme="minorBidi"/>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4988BC0C">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354AFC05">
      <w:pPr>
        <w:spacing w:before="173" w:line="225" w:lineRule="auto"/>
        <w:ind w:left="30"/>
        <w:rPr>
          <w:rFonts w:ascii="仿宋" w:hAnsi="仿宋" w:eastAsia="仿宋" w:cs="仿宋"/>
          <w:sz w:val="27"/>
          <w:szCs w:val="27"/>
          <w:u w:val="single" w:color="auto"/>
        </w:rPr>
      </w:pPr>
    </w:p>
    <w:p w14:paraId="697EE092">
      <w:pPr>
        <w:spacing w:before="173" w:line="225" w:lineRule="auto"/>
        <w:ind w:left="30"/>
        <w:rPr>
          <w:rFonts w:ascii="仿宋" w:hAnsi="仿宋" w:eastAsia="仿宋" w:cs="仿宋"/>
          <w:sz w:val="27"/>
          <w:szCs w:val="27"/>
          <w:u w:val="single" w:color="auto"/>
        </w:rPr>
      </w:pPr>
    </w:p>
    <w:p w14:paraId="14D92E37">
      <w:pPr>
        <w:spacing w:before="173" w:line="225" w:lineRule="auto"/>
        <w:ind w:left="30"/>
        <w:rPr>
          <w:rFonts w:ascii="仿宋" w:hAnsi="仿宋" w:eastAsia="仿宋" w:cs="仿宋"/>
          <w:sz w:val="27"/>
          <w:szCs w:val="27"/>
          <w:u w:val="single" w:color="auto"/>
        </w:rPr>
      </w:pPr>
    </w:p>
    <w:p w14:paraId="2AC352F1">
      <w:pPr>
        <w:spacing w:before="173" w:line="225" w:lineRule="auto"/>
        <w:ind w:left="30"/>
        <w:rPr>
          <w:rFonts w:ascii="仿宋" w:hAnsi="仿宋" w:eastAsia="仿宋" w:cs="仿宋"/>
          <w:sz w:val="27"/>
          <w:szCs w:val="27"/>
          <w:u w:val="single" w:color="auto"/>
        </w:rPr>
      </w:pPr>
    </w:p>
    <w:p w14:paraId="12BE311C">
      <w:pPr>
        <w:spacing w:before="173" w:line="225" w:lineRule="auto"/>
        <w:ind w:left="30"/>
        <w:rPr>
          <w:rFonts w:ascii="仿宋" w:hAnsi="仿宋" w:eastAsia="仿宋" w:cs="仿宋"/>
          <w:sz w:val="27"/>
          <w:szCs w:val="27"/>
          <w:u w:val="single" w:color="auto"/>
        </w:rPr>
      </w:pPr>
    </w:p>
    <w:p w14:paraId="68101B8E">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pacing w:val="6"/>
          <w:sz w:val="30"/>
          <w:szCs w:val="30"/>
          <w:lang w:val="en-US" w:eastAsia="zh-CN"/>
        </w:rPr>
        <w:t>大田</w:t>
      </w:r>
      <w:r>
        <w:rPr>
          <w:rFonts w:hint="eastAsia" w:ascii="仿宋" w:hAnsi="仿宋" w:eastAsia="仿宋" w:cs="仿宋"/>
          <w:sz w:val="30"/>
          <w:szCs w:val="30"/>
          <w:lang w:eastAsia="zh-CN"/>
        </w:rPr>
        <w:t>镇人民政府备案（盖章）：</w:t>
      </w:r>
    </w:p>
    <w:p w14:paraId="7EE6F4D4">
      <w:pPr>
        <w:spacing w:before="173" w:line="225" w:lineRule="auto"/>
        <w:rPr>
          <w:rFonts w:ascii="仿宋" w:hAnsi="仿宋" w:eastAsia="仿宋" w:cs="仿宋"/>
          <w:sz w:val="27"/>
          <w:szCs w:val="27"/>
          <w:u w:val="single" w:color="auto"/>
        </w:rPr>
        <w:sectPr>
          <w:footerReference r:id="rId4" w:type="default"/>
          <w:pgSz w:w="11905" w:h="16840"/>
          <w:pgMar w:top="1431" w:right="1437" w:bottom="1189" w:left="1785" w:header="0" w:footer="939" w:gutter="0"/>
          <w:cols w:space="720" w:num="1"/>
        </w:sectPr>
      </w:pP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10"/>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1"/>
            </w:pPr>
          </w:p>
        </w:tc>
        <w:tc>
          <w:tcPr>
            <w:tcW w:w="1133" w:type="dxa"/>
            <w:vAlign w:val="top"/>
          </w:tcPr>
          <w:p w14:paraId="3A19B3AD">
            <w:pPr>
              <w:pStyle w:val="11"/>
            </w:pPr>
          </w:p>
        </w:tc>
        <w:tc>
          <w:tcPr>
            <w:tcW w:w="1138" w:type="dxa"/>
            <w:vAlign w:val="top"/>
          </w:tcPr>
          <w:p w14:paraId="293FD380">
            <w:pPr>
              <w:pStyle w:val="11"/>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4"/>
                <w:sz w:val="27"/>
                <w:szCs w:val="27"/>
              </w:rPr>
              <w:t>的权属证明</w:t>
            </w:r>
          </w:p>
        </w:tc>
        <w:tc>
          <w:tcPr>
            <w:tcW w:w="1558" w:type="dxa"/>
            <w:vAlign w:val="top"/>
          </w:tcPr>
          <w:p w14:paraId="50C7631D">
            <w:pPr>
              <w:pStyle w:val="11"/>
            </w:pPr>
          </w:p>
        </w:tc>
        <w:tc>
          <w:tcPr>
            <w:tcW w:w="1133" w:type="dxa"/>
            <w:vAlign w:val="top"/>
          </w:tcPr>
          <w:p w14:paraId="722D1178">
            <w:pPr>
              <w:pStyle w:val="11"/>
            </w:pPr>
          </w:p>
        </w:tc>
        <w:tc>
          <w:tcPr>
            <w:tcW w:w="1138" w:type="dxa"/>
            <w:vAlign w:val="top"/>
          </w:tcPr>
          <w:p w14:paraId="7CED7353">
            <w:pPr>
              <w:pStyle w:val="11"/>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5"/>
                <w:sz w:val="27"/>
                <w:szCs w:val="27"/>
              </w:rPr>
              <w:t>四至范围附图</w:t>
            </w:r>
          </w:p>
        </w:tc>
        <w:tc>
          <w:tcPr>
            <w:tcW w:w="1558" w:type="dxa"/>
            <w:vAlign w:val="top"/>
          </w:tcPr>
          <w:p w14:paraId="27CA774A">
            <w:pPr>
              <w:pStyle w:val="11"/>
            </w:pPr>
          </w:p>
        </w:tc>
        <w:tc>
          <w:tcPr>
            <w:tcW w:w="1133" w:type="dxa"/>
            <w:vAlign w:val="top"/>
          </w:tcPr>
          <w:p w14:paraId="6FBD1D5F">
            <w:pPr>
              <w:pStyle w:val="11"/>
            </w:pPr>
          </w:p>
        </w:tc>
        <w:tc>
          <w:tcPr>
            <w:tcW w:w="1138" w:type="dxa"/>
            <w:vAlign w:val="top"/>
          </w:tcPr>
          <w:p w14:paraId="06FA0FF6">
            <w:pPr>
              <w:pStyle w:val="11"/>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1"/>
              <w:spacing w:line="300" w:lineRule="auto"/>
            </w:pPr>
          </w:p>
          <w:p w14:paraId="7E422B38">
            <w:pPr>
              <w:pStyle w:val="11"/>
              <w:spacing w:line="300" w:lineRule="auto"/>
            </w:pPr>
          </w:p>
          <w:p w14:paraId="079E67C5">
            <w:pPr>
              <w:pStyle w:val="11"/>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1"/>
            </w:pPr>
          </w:p>
        </w:tc>
        <w:tc>
          <w:tcPr>
            <w:tcW w:w="1133" w:type="dxa"/>
            <w:vAlign w:val="top"/>
          </w:tcPr>
          <w:p w14:paraId="5E543BF1">
            <w:pPr>
              <w:pStyle w:val="11"/>
            </w:pPr>
          </w:p>
        </w:tc>
        <w:tc>
          <w:tcPr>
            <w:tcW w:w="1138" w:type="dxa"/>
            <w:vAlign w:val="top"/>
          </w:tcPr>
          <w:p w14:paraId="2E4E552A">
            <w:pPr>
              <w:pStyle w:val="11"/>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1"/>
            </w:pPr>
          </w:p>
        </w:tc>
        <w:tc>
          <w:tcPr>
            <w:tcW w:w="3541" w:type="dxa"/>
            <w:vAlign w:val="top"/>
          </w:tcPr>
          <w:p w14:paraId="129CB217">
            <w:pPr>
              <w:pStyle w:val="11"/>
            </w:pPr>
          </w:p>
        </w:tc>
        <w:tc>
          <w:tcPr>
            <w:tcW w:w="1558" w:type="dxa"/>
            <w:vAlign w:val="top"/>
          </w:tcPr>
          <w:p w14:paraId="7C547DDD">
            <w:pPr>
              <w:pStyle w:val="11"/>
            </w:pPr>
          </w:p>
        </w:tc>
        <w:tc>
          <w:tcPr>
            <w:tcW w:w="1133" w:type="dxa"/>
            <w:vAlign w:val="top"/>
          </w:tcPr>
          <w:p w14:paraId="7D988089">
            <w:pPr>
              <w:pStyle w:val="11"/>
            </w:pPr>
          </w:p>
        </w:tc>
        <w:tc>
          <w:tcPr>
            <w:tcW w:w="1138" w:type="dxa"/>
            <w:vAlign w:val="top"/>
          </w:tcPr>
          <w:p w14:paraId="658F2A7E">
            <w:pPr>
              <w:pStyle w:val="11"/>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1"/>
            </w:pPr>
          </w:p>
        </w:tc>
        <w:tc>
          <w:tcPr>
            <w:tcW w:w="3541" w:type="dxa"/>
            <w:vAlign w:val="top"/>
          </w:tcPr>
          <w:p w14:paraId="75CBB97E">
            <w:pPr>
              <w:pStyle w:val="11"/>
            </w:pPr>
          </w:p>
        </w:tc>
        <w:tc>
          <w:tcPr>
            <w:tcW w:w="1558" w:type="dxa"/>
            <w:vAlign w:val="top"/>
          </w:tcPr>
          <w:p w14:paraId="35E176E8">
            <w:pPr>
              <w:pStyle w:val="11"/>
            </w:pPr>
          </w:p>
        </w:tc>
        <w:tc>
          <w:tcPr>
            <w:tcW w:w="1133" w:type="dxa"/>
            <w:vAlign w:val="top"/>
          </w:tcPr>
          <w:p w14:paraId="3DD8B52F">
            <w:pPr>
              <w:pStyle w:val="11"/>
            </w:pPr>
          </w:p>
        </w:tc>
        <w:tc>
          <w:tcPr>
            <w:tcW w:w="1138" w:type="dxa"/>
            <w:vAlign w:val="top"/>
          </w:tcPr>
          <w:p w14:paraId="02C0DFDA">
            <w:pPr>
              <w:pStyle w:val="11"/>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1"/>
            </w:pPr>
          </w:p>
        </w:tc>
        <w:tc>
          <w:tcPr>
            <w:tcW w:w="3541" w:type="dxa"/>
            <w:vAlign w:val="top"/>
          </w:tcPr>
          <w:p w14:paraId="7C096660">
            <w:pPr>
              <w:pStyle w:val="11"/>
            </w:pPr>
          </w:p>
        </w:tc>
        <w:tc>
          <w:tcPr>
            <w:tcW w:w="1558" w:type="dxa"/>
            <w:vAlign w:val="top"/>
          </w:tcPr>
          <w:p w14:paraId="521D4D63">
            <w:pPr>
              <w:pStyle w:val="11"/>
            </w:pPr>
          </w:p>
        </w:tc>
        <w:tc>
          <w:tcPr>
            <w:tcW w:w="1133" w:type="dxa"/>
            <w:vAlign w:val="top"/>
          </w:tcPr>
          <w:p w14:paraId="641B489F">
            <w:pPr>
              <w:pStyle w:val="11"/>
            </w:pPr>
          </w:p>
        </w:tc>
        <w:tc>
          <w:tcPr>
            <w:tcW w:w="1138" w:type="dxa"/>
            <w:vAlign w:val="top"/>
          </w:tcPr>
          <w:p w14:paraId="78899E1D">
            <w:pPr>
              <w:pStyle w:val="11"/>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1"/>
            </w:pPr>
          </w:p>
        </w:tc>
        <w:tc>
          <w:tcPr>
            <w:tcW w:w="3541" w:type="dxa"/>
            <w:vAlign w:val="top"/>
          </w:tcPr>
          <w:p w14:paraId="1AC8EC23">
            <w:pPr>
              <w:pStyle w:val="11"/>
            </w:pPr>
          </w:p>
        </w:tc>
        <w:tc>
          <w:tcPr>
            <w:tcW w:w="1558" w:type="dxa"/>
            <w:vAlign w:val="top"/>
          </w:tcPr>
          <w:p w14:paraId="4224676B">
            <w:pPr>
              <w:pStyle w:val="11"/>
            </w:pPr>
          </w:p>
        </w:tc>
        <w:tc>
          <w:tcPr>
            <w:tcW w:w="1133" w:type="dxa"/>
            <w:vAlign w:val="top"/>
          </w:tcPr>
          <w:p w14:paraId="25C850D1">
            <w:pPr>
              <w:pStyle w:val="11"/>
            </w:pPr>
          </w:p>
        </w:tc>
        <w:tc>
          <w:tcPr>
            <w:tcW w:w="1138" w:type="dxa"/>
            <w:vAlign w:val="top"/>
          </w:tcPr>
          <w:p w14:paraId="2231892A">
            <w:pPr>
              <w:pStyle w:val="11"/>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1"/>
            </w:pPr>
          </w:p>
        </w:tc>
        <w:tc>
          <w:tcPr>
            <w:tcW w:w="3541" w:type="dxa"/>
            <w:vAlign w:val="top"/>
          </w:tcPr>
          <w:p w14:paraId="729BFE03">
            <w:pPr>
              <w:pStyle w:val="11"/>
            </w:pPr>
          </w:p>
        </w:tc>
        <w:tc>
          <w:tcPr>
            <w:tcW w:w="1558" w:type="dxa"/>
            <w:vAlign w:val="top"/>
          </w:tcPr>
          <w:p w14:paraId="5D98DC6C">
            <w:pPr>
              <w:pStyle w:val="11"/>
            </w:pPr>
          </w:p>
        </w:tc>
        <w:tc>
          <w:tcPr>
            <w:tcW w:w="1133" w:type="dxa"/>
            <w:vAlign w:val="top"/>
          </w:tcPr>
          <w:p w14:paraId="51456A1C">
            <w:pPr>
              <w:pStyle w:val="11"/>
            </w:pPr>
          </w:p>
        </w:tc>
        <w:tc>
          <w:tcPr>
            <w:tcW w:w="1138" w:type="dxa"/>
            <w:vAlign w:val="top"/>
          </w:tcPr>
          <w:p w14:paraId="51A4CF8B">
            <w:pPr>
              <w:pStyle w:val="11"/>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1"/>
            </w:pPr>
          </w:p>
        </w:tc>
        <w:tc>
          <w:tcPr>
            <w:tcW w:w="3541" w:type="dxa"/>
            <w:vAlign w:val="top"/>
          </w:tcPr>
          <w:p w14:paraId="0BE3F41B">
            <w:pPr>
              <w:pStyle w:val="11"/>
            </w:pPr>
          </w:p>
        </w:tc>
        <w:tc>
          <w:tcPr>
            <w:tcW w:w="1558" w:type="dxa"/>
            <w:vAlign w:val="top"/>
          </w:tcPr>
          <w:p w14:paraId="060B828D">
            <w:pPr>
              <w:pStyle w:val="11"/>
            </w:pPr>
          </w:p>
        </w:tc>
        <w:tc>
          <w:tcPr>
            <w:tcW w:w="1133" w:type="dxa"/>
            <w:vAlign w:val="top"/>
          </w:tcPr>
          <w:p w14:paraId="78F122D8">
            <w:pPr>
              <w:pStyle w:val="11"/>
            </w:pPr>
          </w:p>
        </w:tc>
        <w:tc>
          <w:tcPr>
            <w:tcW w:w="1138" w:type="dxa"/>
            <w:vAlign w:val="top"/>
          </w:tcPr>
          <w:p w14:paraId="065FD5C0">
            <w:pPr>
              <w:pStyle w:val="11"/>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1"/>
            </w:pPr>
          </w:p>
        </w:tc>
        <w:tc>
          <w:tcPr>
            <w:tcW w:w="3541" w:type="dxa"/>
            <w:vAlign w:val="top"/>
          </w:tcPr>
          <w:p w14:paraId="7EF7890B">
            <w:pPr>
              <w:pStyle w:val="11"/>
            </w:pPr>
          </w:p>
        </w:tc>
        <w:tc>
          <w:tcPr>
            <w:tcW w:w="1558" w:type="dxa"/>
            <w:vAlign w:val="top"/>
          </w:tcPr>
          <w:p w14:paraId="59DF3505">
            <w:pPr>
              <w:pStyle w:val="11"/>
            </w:pPr>
          </w:p>
        </w:tc>
        <w:tc>
          <w:tcPr>
            <w:tcW w:w="1133" w:type="dxa"/>
            <w:vAlign w:val="top"/>
          </w:tcPr>
          <w:p w14:paraId="37DFFC61">
            <w:pPr>
              <w:pStyle w:val="11"/>
            </w:pPr>
          </w:p>
        </w:tc>
        <w:tc>
          <w:tcPr>
            <w:tcW w:w="1138" w:type="dxa"/>
            <w:vAlign w:val="top"/>
          </w:tcPr>
          <w:p w14:paraId="0401BA4F">
            <w:pPr>
              <w:pStyle w:val="11"/>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1"/>
            </w:pPr>
          </w:p>
        </w:tc>
        <w:tc>
          <w:tcPr>
            <w:tcW w:w="3541" w:type="dxa"/>
            <w:vAlign w:val="top"/>
          </w:tcPr>
          <w:p w14:paraId="2144D848">
            <w:pPr>
              <w:pStyle w:val="11"/>
            </w:pPr>
          </w:p>
        </w:tc>
        <w:tc>
          <w:tcPr>
            <w:tcW w:w="1558" w:type="dxa"/>
            <w:vAlign w:val="top"/>
          </w:tcPr>
          <w:p w14:paraId="380B508B">
            <w:pPr>
              <w:pStyle w:val="11"/>
            </w:pPr>
          </w:p>
        </w:tc>
        <w:tc>
          <w:tcPr>
            <w:tcW w:w="1133" w:type="dxa"/>
            <w:vAlign w:val="top"/>
          </w:tcPr>
          <w:p w14:paraId="21C68742">
            <w:pPr>
              <w:pStyle w:val="11"/>
            </w:pPr>
          </w:p>
        </w:tc>
        <w:tc>
          <w:tcPr>
            <w:tcW w:w="1138" w:type="dxa"/>
            <w:vAlign w:val="top"/>
          </w:tcPr>
          <w:p w14:paraId="022B96D0">
            <w:pPr>
              <w:pStyle w:val="11"/>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804390E">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1C6A13CB">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1  </w:t>
    </w:r>
    <w:r>
      <w:rPr>
        <w:rFonts w:ascii="Times New Roman" w:hAnsi="Times New Roman" w:eastAsia="Times New Roman" w:cs="Times New Roman"/>
        <w:spacing w:val="2"/>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5186"/>
    <w:multiLevelType w:val="singleLevel"/>
    <w:tmpl w:val="F1715186"/>
    <w:lvl w:ilvl="0" w:tentative="0">
      <w:start w:val="2"/>
      <w:numFmt w:val="chineseCounting"/>
      <w:suff w:val="nothing"/>
      <w:lvlText w:val="（%1）"/>
      <w:lvlJc w:val="left"/>
      <w:rPr>
        <w:rFonts w:hint="eastAsia"/>
      </w:rPr>
    </w:lvl>
  </w:abstractNum>
  <w:abstractNum w:abstractNumId="1">
    <w:nsid w:val="1A97D30B"/>
    <w:multiLevelType w:val="singleLevel"/>
    <w:tmpl w:val="1A97D30B"/>
    <w:lvl w:ilvl="0" w:tentative="0">
      <w:start w:val="1"/>
      <w:numFmt w:val="decimal"/>
      <w:suff w:val="space"/>
      <w:lvlText w:val="%1."/>
      <w:lvlJc w:val="left"/>
    </w:lvl>
  </w:abstractNum>
  <w:abstractNum w:abstractNumId="2">
    <w:nsid w:val="4D5196D7"/>
    <w:multiLevelType w:val="singleLevel"/>
    <w:tmpl w:val="4D5196D7"/>
    <w:lvl w:ilvl="0" w:tentative="0">
      <w:start w:val="4"/>
      <w:numFmt w:val="decimal"/>
      <w:lvlText w:val="%1."/>
      <w:lvlJc w:val="left"/>
      <w:pPr>
        <w:tabs>
          <w:tab w:val="left" w:pos="312"/>
        </w:tabs>
      </w:pPr>
    </w:lvl>
  </w:abstractNum>
  <w:abstractNum w:abstractNumId="3">
    <w:nsid w:val="64DD5288"/>
    <w:multiLevelType w:val="singleLevel"/>
    <w:tmpl w:val="64DD5288"/>
    <w:lvl w:ilvl="0" w:tentative="0">
      <w:start w:val="5"/>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5742A02"/>
    <w:rsid w:val="06737E72"/>
    <w:rsid w:val="067803E8"/>
    <w:rsid w:val="0B2F4C67"/>
    <w:rsid w:val="0C364052"/>
    <w:rsid w:val="13E63266"/>
    <w:rsid w:val="149F5803"/>
    <w:rsid w:val="17FA3052"/>
    <w:rsid w:val="195A31B2"/>
    <w:rsid w:val="1AF3738D"/>
    <w:rsid w:val="1B9D6C20"/>
    <w:rsid w:val="20511636"/>
    <w:rsid w:val="22623C65"/>
    <w:rsid w:val="24194B61"/>
    <w:rsid w:val="27C46B92"/>
    <w:rsid w:val="28577471"/>
    <w:rsid w:val="29261C78"/>
    <w:rsid w:val="29EE0A39"/>
    <w:rsid w:val="306B4D61"/>
    <w:rsid w:val="33F83A46"/>
    <w:rsid w:val="372E1C71"/>
    <w:rsid w:val="37D972EC"/>
    <w:rsid w:val="3D7D7AB7"/>
    <w:rsid w:val="3F240D18"/>
    <w:rsid w:val="418E2292"/>
    <w:rsid w:val="48295388"/>
    <w:rsid w:val="49363FF8"/>
    <w:rsid w:val="4CDD12A8"/>
    <w:rsid w:val="4D4001B9"/>
    <w:rsid w:val="55AF3AB7"/>
    <w:rsid w:val="59620A61"/>
    <w:rsid w:val="5BAC35E9"/>
    <w:rsid w:val="5BC07095"/>
    <w:rsid w:val="66FB53AA"/>
    <w:rsid w:val="68B6001A"/>
    <w:rsid w:val="6A81562A"/>
    <w:rsid w:val="6B910ACF"/>
    <w:rsid w:val="6C5F6456"/>
    <w:rsid w:val="6DD662A4"/>
    <w:rsid w:val="729E0D7D"/>
    <w:rsid w:val="794C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footer"/>
    <w:basedOn w:val="1"/>
    <w:qFormat/>
    <w:uiPriority w:val="0"/>
    <w:pPr>
      <w:tabs>
        <w:tab w:val="center" w:pos="4153"/>
        <w:tab w:val="right" w:pos="8306"/>
      </w:tabs>
    </w:pPr>
    <w:rPr>
      <w:sz w:val="18"/>
    </w:rPr>
  </w:style>
  <w:style w:type="character" w:customStyle="1" w:styleId="9">
    <w:name w:val="标题 4 Char"/>
    <w:link w:val="4"/>
    <w:qFormat/>
    <w:uiPriority w:val="0"/>
    <w:rPr>
      <w:rFonts w:ascii="Arial" w:hAnsi="Arial" w:eastAsia="黑体"/>
      <w:b/>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2731</Characters>
  <Lines>0</Lines>
  <Paragraphs>0</Paragraphs>
  <TotalTime>11</TotalTime>
  <ScaleCrop>false</ScaleCrop>
  <LinksUpToDate>false</LinksUpToDate>
  <CharactersWithSpaces>3795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dcterms:modified xsi:type="dcterms:W3CDTF">2026-03-18T08:35:20Z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B18D03F473E04D259DA4E007445DDF05_13</vt:lpwstr>
  </property>
  <property fmtid="{D5CDD505-2E9C-101B-9397-08002B2CF9AE}" pid="4" name="KSOTemplateDocerSaveRecord">
    <vt:lpwstr>eyJoZGlkIjoiY2JlY2VhNmU4ODJlYzJjNGMzMGFkODQ5NjJhOTg3YTAiLCJ1c2VySWQiOiIyODQ1OTU3NTYifQ==</vt:lpwstr>
  </property>
</Properties>
</file>