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pPr>
        <w:pStyle w:val="5"/>
        <w:ind w:firstLine="0"/>
        <w:jc w:val="left"/>
        <w:rPr>
          <w:rFonts w:ascii="仿宋_GB2312" w:hAnsi="仿宋_GB2312" w:eastAsia="仿宋_GB2312" w:cs="仿宋_GB2312"/>
          <w:color w:val="C00000"/>
          <w:sz w:val="30"/>
          <w:szCs w:val="30"/>
        </w:rPr>
      </w:pPr>
    </w:p>
    <w:p>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pPr>
        <w:pStyle w:val="5"/>
        <w:ind w:firstLine="0"/>
        <w:jc w:val="left"/>
        <w:rPr>
          <w:rFonts w:ascii="仿宋_GB2312" w:hAnsi="仿宋_GB2312" w:eastAsia="仿宋_GB2312" w:cs="仿宋_GB2312"/>
          <w:color w:val="C00000"/>
          <w:sz w:val="30"/>
          <w:szCs w:val="30"/>
        </w:rPr>
      </w:pPr>
    </w:p>
    <w:p>
      <w:pPr>
        <w:pStyle w:val="5"/>
        <w:jc w:val="left"/>
        <w:rPr>
          <w:rFonts w:ascii="仿宋_GB2312" w:hAnsi="仿宋_GB2312" w:eastAsia="仿宋_GB2312" w:cs="仿宋_GB2312"/>
          <w:color w:val="C00000"/>
          <w:sz w:val="30"/>
          <w:szCs w:val="30"/>
        </w:rPr>
      </w:pPr>
    </w:p>
    <w:p>
      <w:pPr>
        <w:pStyle w:val="5"/>
        <w:jc w:val="left"/>
        <w:rPr>
          <w:rFonts w:ascii="仿宋_GB2312" w:hAnsi="仿宋_GB2312" w:eastAsia="仿宋_GB2312" w:cs="仿宋_GB2312"/>
          <w:color w:val="C00000"/>
          <w:sz w:val="30"/>
          <w:szCs w:val="30"/>
        </w:rPr>
      </w:pPr>
    </w:p>
    <w:p>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pPr>
        <w:pStyle w:val="5"/>
        <w:ind w:firstLine="0"/>
        <w:jc w:val="left"/>
        <w:rPr>
          <w:rFonts w:ascii="仿宋_GB2312" w:hAnsi="仿宋_GB2312" w:eastAsia="仿宋_GB2312" w:cs="仿宋_GB2312"/>
          <w:color w:val="C00000"/>
          <w:sz w:val="30"/>
          <w:szCs w:val="30"/>
        </w:rPr>
      </w:pPr>
    </w:p>
    <w:p>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pStyle w:val="5"/>
        <w:jc w:val="left"/>
        <w:rPr>
          <w:rFonts w:ascii="仿宋_GB2312" w:hAnsi="仿宋_GB2312" w:eastAsia="仿宋_GB2312" w:cs="仿宋_GB2312"/>
          <w:color w:val="auto"/>
          <w:sz w:val="30"/>
          <w:szCs w:val="30"/>
        </w:rPr>
      </w:pPr>
    </w:p>
    <w:p>
      <w:pPr>
        <w:jc w:val="left"/>
        <w:rPr>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line="240" w:lineRule="auto"/>
        <w:rPr>
          <w:rFonts w:ascii="黑体" w:hAnsi="黑体"/>
          <w:color w:val="auto"/>
        </w:rPr>
      </w:pPr>
      <w:bookmarkStart w:id="1" w:name="_Toc32320"/>
      <w:bookmarkStart w:id="2" w:name="_Toc21762"/>
      <w:bookmarkStart w:id="3" w:name="_Toc15737"/>
      <w:bookmarkStart w:id="4" w:name="_Toc11918"/>
      <w:bookmarkStart w:id="5" w:name="_Toc20910"/>
      <w:bookmarkStart w:id="6" w:name="_Toc24454"/>
      <w:bookmarkStart w:id="7" w:name="_Toc21422"/>
      <w:bookmarkStart w:id="8" w:name="_Toc12789"/>
      <w:bookmarkStart w:id="9" w:name="_Toc24068"/>
      <w:bookmarkStart w:id="10" w:name="_Toc24727"/>
      <w:bookmarkStart w:id="11" w:name="_Toc13462"/>
      <w:bookmarkStart w:id="12" w:name="_Toc29002"/>
      <w:bookmarkStart w:id="13" w:name="_Toc7615"/>
      <w:bookmarkStart w:id="14" w:name="_Toc20033"/>
      <w:bookmarkStart w:id="15" w:name="_Toc25712"/>
      <w:bookmarkStart w:id="16" w:name="_Toc8396"/>
      <w:r>
        <w:rPr>
          <w:rFonts w:hint="eastAsia" w:ascii="黑体" w:hAnsi="黑体"/>
          <w:color w:val="auto"/>
        </w:rPr>
        <w:t>网络竞价须知</w:t>
      </w:r>
      <w:bookmarkEnd w:id="1"/>
      <w:bookmarkEnd w:id="2"/>
      <w:bookmarkEnd w:id="3"/>
      <w:bookmarkEnd w:id="4"/>
      <w:bookmarkEnd w:id="5"/>
      <w:bookmarkEnd w:id="6"/>
      <w:bookmarkEnd w:id="7"/>
    </w:p>
    <w:p>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海南省直辖县东方市广坝农场红心橙项目504.48亩农用地租赁</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03</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26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pPr>
        <w:spacing w:line="520" w:lineRule="exact"/>
        <w:ind w:firstLine="560" w:firstLineChars="200"/>
        <w:rPr>
          <w:rFonts w:ascii="新宋体" w:hAnsi="新宋体" w:eastAsia="新宋体" w:cs="Times New Roman"/>
          <w:color w:val="auto"/>
          <w:sz w:val="24"/>
          <w:szCs w:val="24"/>
        </w:rPr>
      </w:pPr>
      <w:r>
        <w:rPr>
          <w:rFonts w:hint="eastAsia" w:ascii="新宋体" w:hAnsi="新宋体" w:eastAsia="新宋体" w:cs="Times New Roman"/>
          <w:color w:val="auto"/>
          <w:sz w:val="28"/>
          <w:szCs w:val="28"/>
        </w:rPr>
        <w:t>1、竞买申请方注册平台账号和提交实名认证材料时，必须按照平台要求提供及时</w:t>
      </w:r>
      <w:r>
        <w:rPr>
          <w:rFonts w:hint="eastAsia" w:ascii="新宋体" w:hAnsi="新宋体" w:eastAsia="新宋体" w:cs="Times New Roman"/>
          <w:color w:val="auto"/>
          <w:sz w:val="24"/>
          <w:szCs w:val="24"/>
        </w:rPr>
        <w:t>、详尽、准确、真实的单位或个人注册资料，注册后如信息资料有任何变动，必须及时向平台提出更新申请，否则由此引起的经济及法律责任均由竞买方自行承担。</w:t>
      </w:r>
    </w:p>
    <w:p>
      <w:pPr>
        <w:spacing w:line="520" w:lineRule="exact"/>
        <w:ind w:firstLine="480" w:firstLineChars="200"/>
        <w:rPr>
          <w:rFonts w:ascii="新宋体" w:hAnsi="新宋体" w:eastAsia="新宋体" w:cs="Times New Roman"/>
          <w:color w:val="auto"/>
          <w:sz w:val="24"/>
          <w:szCs w:val="24"/>
        </w:rPr>
      </w:pPr>
      <w:r>
        <w:rPr>
          <w:rFonts w:hint="eastAsia" w:ascii="新宋体" w:hAnsi="新宋体" w:eastAsia="新宋体" w:cs="Times New Roman"/>
          <w:color w:val="auto"/>
          <w:sz w:val="24"/>
          <w:szCs w:val="24"/>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4"/>
          <w:szCs w:val="24"/>
        </w:rPr>
        <w:t>三、竞买方办理竞拍登记手续和交易保证金</w:t>
      </w:r>
      <w:r>
        <w:rPr>
          <w:rFonts w:hint="eastAsia" w:ascii="新宋体" w:hAnsi="新宋体" w:eastAsia="新宋体" w:cs="Times New Roman"/>
          <w:color w:val="auto"/>
          <w:sz w:val="28"/>
          <w:szCs w:val="28"/>
        </w:rPr>
        <w:t>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pPr>
        <w:spacing w:line="520" w:lineRule="exact"/>
        <w:ind w:firstLine="562" w:firstLineChars="200"/>
        <w:jc w:val="left"/>
        <w:rPr>
          <w:rFonts w:hint="default" w:ascii="新宋体" w:hAnsi="新宋体" w:eastAsia="新宋体" w:cs="Times New Roman"/>
          <w:b/>
          <w:bCs/>
          <w:color w:val="C00000"/>
          <w:sz w:val="28"/>
          <w:szCs w:val="28"/>
          <w:u w:val="single"/>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lang w:val="en-US" w:eastAsia="zh-CN"/>
        </w:rPr>
        <w:t>252240</w:t>
      </w:r>
      <w:bookmarkStart w:id="39" w:name="_GoBack"/>
      <w:bookmarkEnd w:id="39"/>
      <w:r>
        <w:rPr>
          <w:rFonts w:hint="eastAsia" w:ascii="新宋体" w:hAnsi="新宋体" w:eastAsia="新宋体" w:cs="Times New Roman"/>
          <w:b/>
          <w:bCs/>
          <w:color w:val="C00000"/>
          <w:sz w:val="28"/>
          <w:szCs w:val="28"/>
          <w:lang w:val="en-US" w:eastAsia="zh-CN"/>
        </w:rPr>
        <w:t>元/年</w:t>
      </w:r>
    </w:p>
    <w:p>
      <w:pPr>
        <w:spacing w:line="520" w:lineRule="exact"/>
        <w:ind w:firstLine="562" w:firstLineChars="200"/>
        <w:jc w:val="left"/>
        <w:rPr>
          <w:rFonts w:hint="eastAsia" w:ascii="新宋体" w:hAnsi="新宋体" w:eastAsia="新宋体" w:cs="Times New Roman"/>
          <w:b/>
          <w:bCs/>
          <w:color w:val="auto"/>
          <w:sz w:val="28"/>
          <w:szCs w:val="28"/>
        </w:rPr>
      </w:pP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本次网络竞价采用竞价方式（</w:t>
      </w:r>
      <w:r>
        <w:rPr>
          <w:rFonts w:hint="eastAsia" w:ascii="宋体" w:hAnsi="Times New Roman"/>
          <w:b/>
          <w:bCs/>
          <w:color w:val="auto"/>
          <w:lang w:eastAsia="zh-CN"/>
        </w:rPr>
        <w:t>☑</w:t>
      </w:r>
      <w:r>
        <w:rPr>
          <w:rFonts w:hint="eastAsia" w:ascii="新宋体" w:hAnsi="新宋体" w:eastAsia="新宋体" w:cs="Times New Roman"/>
          <w:b/>
          <w:bCs/>
          <w:color w:val="auto"/>
          <w:sz w:val="28"/>
          <w:szCs w:val="28"/>
        </w:rPr>
        <w:t>阶梯竞价、</w:t>
      </w:r>
      <w:r>
        <w:rPr>
          <w:rFonts w:hint="eastAsia" w:ascii="宋体" w:hAnsi="Times New Roman"/>
          <w:b/>
          <w:bCs/>
          <w:color w:val="auto"/>
          <w:lang w:eastAsia="zh-CN"/>
        </w:rPr>
        <w:t>□</w:t>
      </w:r>
      <w:r>
        <w:rPr>
          <w:rFonts w:hint="eastAsia" w:ascii="新宋体" w:hAnsi="新宋体" w:eastAsia="新宋体" w:cs="Times New Roman"/>
          <w:b/>
          <w:bCs/>
          <w:color w:val="auto"/>
          <w:sz w:val="28"/>
          <w:szCs w:val="28"/>
        </w:rPr>
        <w:t>自由竞价）。</w:t>
      </w:r>
    </w:p>
    <w:p>
      <w:pPr>
        <w:pStyle w:val="2"/>
        <w:keepNext/>
        <w:keepLines/>
        <w:pageBreakBefore w:val="0"/>
        <w:widowControl w:val="0"/>
        <w:numPr>
          <w:ilvl w:val="0"/>
          <w:numId w:val="0"/>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b/>
          <w:bCs/>
          <w:color w:val="auto"/>
          <w:kern w:val="2"/>
          <w:sz w:val="28"/>
          <w:szCs w:val="28"/>
          <w:lang w:val="en-US" w:eastAsia="zh-CN" w:bidi="ar-SA"/>
        </w:rPr>
        <w:t>3</w:t>
      </w:r>
      <w:r>
        <w:rPr>
          <w:rFonts w:ascii="新宋体" w:hAnsi="新宋体" w:eastAsia="新宋体" w:cs="Times New Roman"/>
          <w:b/>
          <w:bCs/>
          <w:color w:val="auto"/>
          <w:kern w:val="2"/>
          <w:sz w:val="28"/>
          <w:szCs w:val="28"/>
          <w:lang w:val="en-US" w:eastAsia="zh-CN" w:bidi="ar-SA"/>
        </w:rPr>
        <w:t>、</w:t>
      </w: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w:t>
      </w:r>
      <w:r>
        <w:rPr>
          <w:rFonts w:hint="eastAsia" w:ascii="新宋体" w:hAnsi="新宋体" w:eastAsia="新宋体" w:cs="Times New Roman"/>
          <w:color w:val="auto"/>
          <w:sz w:val="28"/>
          <w:szCs w:val="28"/>
        </w:rPr>
        <w:t>元的整数倍（至少</w:t>
      </w:r>
      <w:r>
        <w:rPr>
          <w:rFonts w:hint="eastAsia" w:ascii="新宋体" w:hAnsi="新宋体" w:eastAsia="新宋体" w:cs="Times New Roman"/>
          <w:color w:val="auto"/>
          <w:sz w:val="28"/>
          <w:szCs w:val="28"/>
          <w:lang w:val="en-US" w:eastAsia="zh-CN"/>
        </w:rPr>
        <w:t>500</w:t>
      </w:r>
      <w:r>
        <w:rPr>
          <w:rFonts w:hint="eastAsia" w:ascii="新宋体" w:hAnsi="新宋体" w:eastAsia="新宋体" w:cs="Times New Roman"/>
          <w:color w:val="auto"/>
          <w:sz w:val="28"/>
          <w:szCs w:val="28"/>
        </w:rPr>
        <w:t>元）。</w:t>
      </w:r>
    </w:p>
    <w:p>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6、自由报价期从</w:t>
      </w:r>
      <w:r>
        <w:rPr>
          <w:rFonts w:hint="eastAsia" w:ascii="新宋体" w:hAnsi="新宋体" w:eastAsia="新宋体" w:cs="Times New Roman"/>
          <w:b/>
          <w:bCs/>
          <w:color w:val="C00000"/>
          <w:sz w:val="28"/>
          <w:szCs w:val="28"/>
          <w:u w:val="single"/>
          <w:lang w:eastAsia="zh-CN"/>
        </w:rPr>
        <w:t>2026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03-27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pPr>
        <w:pStyle w:val="11"/>
        <w:widowControl/>
        <w:shd w:val="clear" w:color="auto" w:fill="FFFFFF"/>
        <w:spacing w:beforeAutospacing="0" w:afterAutospacing="0" w:line="500" w:lineRule="exact"/>
        <w:ind w:firstLine="420"/>
        <w:rPr>
          <w:rFonts w:hint="eastAsia" w:ascii="微软雅黑" w:hAnsi="微软雅黑" w:eastAsia="微软雅黑" w:cs="微软雅黑"/>
          <w:b/>
          <w:bCs/>
          <w:color w:val="C00000"/>
          <w:kern w:val="2"/>
          <w:sz w:val="27"/>
          <w:szCs w:val="27"/>
          <w:shd w:val="clear" w:color="auto" w:fill="FFFFFF"/>
        </w:rPr>
      </w:pPr>
      <w:r>
        <w:rPr>
          <w:rFonts w:hint="eastAsia" w:ascii="微软雅黑" w:hAnsi="微软雅黑" w:eastAsia="微软雅黑" w:cs="微软雅黑"/>
          <w:b/>
          <w:bCs/>
          <w:color w:val="C00000"/>
          <w:kern w:val="2"/>
          <w:sz w:val="27"/>
          <w:szCs w:val="27"/>
          <w:shd w:val="clear" w:color="auto" w:fill="FFFFFF"/>
          <w:lang w:val="en-US" w:eastAsia="zh-CN"/>
        </w:rPr>
        <w:t>注：</w:t>
      </w:r>
      <w:r>
        <w:rPr>
          <w:rFonts w:hint="eastAsia" w:ascii="微软雅黑" w:hAnsi="微软雅黑" w:eastAsia="微软雅黑" w:cs="微软雅黑"/>
          <w:b/>
          <w:bCs/>
          <w:color w:val="C00000"/>
          <w:kern w:val="2"/>
          <w:sz w:val="27"/>
          <w:szCs w:val="27"/>
          <w:shd w:val="clear" w:color="auto" w:fill="FFFFFF"/>
        </w:rPr>
        <w:t>每笔交易最低收费300元</w:t>
      </w:r>
    </w:p>
    <w:p>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pPr>
        <w:spacing w:line="520" w:lineRule="exact"/>
        <w:ind w:firstLine="540" w:firstLineChars="200"/>
        <w:rPr>
          <w:rFonts w:hint="eastAsia" w:ascii="微软雅黑" w:hAnsi="微软雅黑" w:eastAsia="微软雅黑" w:cs="微软雅黑"/>
          <w:b/>
          <w:bCs/>
          <w:color w:val="C00000"/>
          <w:kern w:val="2"/>
          <w:sz w:val="27"/>
          <w:szCs w:val="27"/>
          <w:shd w:val="clear" w:color="auto" w:fill="FFFFFF"/>
          <w:lang w:val="en-US" w:eastAsia="zh-CN"/>
        </w:rPr>
      </w:pPr>
      <w:r>
        <w:rPr>
          <w:rFonts w:hint="eastAsia" w:ascii="微软雅黑" w:hAnsi="微软雅黑" w:eastAsia="微软雅黑" w:cs="微软雅黑"/>
          <w:b/>
          <w:bCs/>
          <w:color w:val="C00000"/>
          <w:kern w:val="2"/>
          <w:sz w:val="27"/>
          <w:szCs w:val="27"/>
          <w:shd w:val="clear" w:color="auto" w:fill="FFFFFF"/>
          <w:lang w:val="en-US" w:eastAsia="zh-CN"/>
        </w:rPr>
        <w:t>注：每笔交易最低收费500元</w:t>
      </w:r>
    </w:p>
    <w:p>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pPr>
        <w:pStyle w:val="10"/>
        <w:ind w:left="2250" w:hanging="1200"/>
        <w:rPr>
          <w:color w:val="auto"/>
        </w:rPr>
      </w:pPr>
    </w:p>
    <w:p>
      <w:pPr>
        <w:rPr>
          <w:color w:val="auto"/>
        </w:rPr>
      </w:pPr>
    </w:p>
    <w:p>
      <w:pPr>
        <w:pStyle w:val="5"/>
        <w:rPr>
          <w:color w:val="auto"/>
        </w:rPr>
      </w:pPr>
    </w:p>
    <w:p>
      <w:pPr>
        <w:spacing w:line="520" w:lineRule="exact"/>
        <w:rPr>
          <w:color w:val="auto"/>
        </w:rPr>
      </w:pPr>
      <w:r>
        <w:rPr>
          <w:rFonts w:hint="eastAsia" w:ascii="Times New Roman" w:hAnsi="Times New Roman"/>
          <w:color w:val="auto"/>
          <w:sz w:val="32"/>
          <w:szCs w:val="32"/>
        </w:rPr>
        <w:t>已详细阅读此竞价须知，对此竞价须知无异议。</w:t>
      </w:r>
    </w:p>
    <w:p>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pPr>
        <w:pStyle w:val="3"/>
        <w:spacing w:line="240" w:lineRule="auto"/>
        <w:rPr>
          <w:rFonts w:ascii="黑体" w:hAnsi="黑体"/>
          <w:color w:val="auto"/>
        </w:rPr>
      </w:pPr>
    </w:p>
    <w:p>
      <w:pPr>
        <w:pStyle w:val="3"/>
        <w:spacing w:line="240" w:lineRule="auto"/>
        <w:jc w:val="both"/>
        <w:rPr>
          <w:rFonts w:ascii="黑体" w:hAnsi="黑体"/>
          <w:color w:val="auto"/>
        </w:rPr>
      </w:pPr>
    </w:p>
    <w:p>
      <w:pPr>
        <w:rPr>
          <w:rFonts w:ascii="黑体" w:hAnsi="黑体"/>
          <w:color w:val="auto"/>
        </w:rPr>
      </w:pPr>
    </w:p>
    <w:p>
      <w:pPr>
        <w:pStyle w:val="3"/>
        <w:spacing w:line="240" w:lineRule="auto"/>
        <w:jc w:val="both"/>
        <w:rPr>
          <w:rFonts w:ascii="黑体" w:hAnsi="黑体"/>
          <w:color w:val="auto"/>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海南省直辖县东方市广坝农场红心橙项目504.48亩农用地租赁</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海南省直辖县东方市广坝农场红心橙项目504.48亩农用地租赁</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海南省直辖县东方市广坝农场红心橙项目504.48亩农用地租赁</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pPr>
        <w:rPr>
          <w:rFonts w:ascii="仿宋_GB2312" w:hAnsi="仿宋_GB2312" w:eastAsia="仿宋_GB2312" w:cs="仿宋_GB2312"/>
          <w:color w:val="auto"/>
          <w:sz w:val="36"/>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pPr>
        <w:rPr>
          <w:rFonts w:ascii="仿宋_GB2312" w:hAnsi="仿宋_GB2312" w:eastAsia="仿宋_GB2312" w:cs="仿宋_GB2312"/>
          <w:b/>
          <w:color w:val="auto"/>
          <w:sz w:val="30"/>
          <w:szCs w:val="30"/>
        </w:rPr>
      </w:pPr>
    </w:p>
    <w:p>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pPr>
        <w:rPr>
          <w:rFonts w:ascii="仿宋_GB2312" w:hAnsi="仿宋_GB2312" w:eastAsia="仿宋_GB2312" w:cs="仿宋_GB2312"/>
          <w:b/>
          <w:color w:val="auto"/>
          <w:sz w:val="30"/>
          <w:szCs w:val="30"/>
          <w:u w:val="single"/>
        </w:rPr>
      </w:pPr>
    </w:p>
    <w:p>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pPr>
                              <w:jc w:val="center"/>
                              <w:rPr>
                                <w:b/>
                                <w:sz w:val="42"/>
                              </w:rPr>
                            </w:pPr>
                          </w:p>
                          <w:p>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pPr>
                              <w:rPr>
                                <w:rFonts w:ascii="仿宋_GB2312" w:hAnsi="仿宋_GB2312" w:eastAsia="仿宋_GB2312" w:cs="仿宋_GB2312"/>
                                <w:sz w:val="24"/>
                              </w:rPr>
                            </w:pP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pPr>
                        <w:jc w:val="center"/>
                        <w:rPr>
                          <w:b/>
                          <w:sz w:val="42"/>
                        </w:rPr>
                      </w:pPr>
                    </w:p>
                    <w:p>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pPr>
                        <w:rPr>
                          <w:rFonts w:ascii="仿宋_GB2312" w:hAnsi="仿宋_GB2312" w:eastAsia="仿宋_GB2312" w:cs="仿宋_GB2312"/>
                          <w:sz w:val="24"/>
                        </w:rPr>
                      </w:pPr>
                    </w:p>
                    <w:p>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rPr>
          <w:rFonts w:ascii="仿宋_GB2312" w:hAnsi="仿宋_GB2312" w:eastAsia="仿宋_GB2312" w:cs="仿宋_GB2312"/>
          <w:color w:val="auto"/>
          <w:sz w:val="30"/>
          <w:szCs w:val="30"/>
        </w:rPr>
      </w:pPr>
    </w:p>
    <w:p>
      <w:pPr>
        <w:pStyle w:val="5"/>
        <w:rPr>
          <w:color w:val="auto"/>
        </w:rPr>
      </w:pPr>
    </w:p>
    <w:p>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eastAsia="zh-CN"/>
        </w:rPr>
        <w:t>2026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3</w:t>
      </w:r>
      <w:r>
        <w:rPr>
          <w:rFonts w:hint="eastAsia" w:ascii="仿宋_GB2312" w:hAnsi="仿宋_GB2312" w:eastAsia="仿宋_GB2312" w:cs="仿宋_GB2312"/>
          <w:b/>
          <w:color w:val="auto"/>
          <w:sz w:val="36"/>
          <w:szCs w:val="30"/>
        </w:rPr>
        <w:t>月</w:t>
      </w:r>
    </w:p>
    <w:p>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pPr>
        <w:pStyle w:val="3"/>
        <w:spacing w:line="400" w:lineRule="exact"/>
        <w:rPr>
          <w:rFonts w:ascii="仿宋" w:hAnsi="仿宋"/>
          <w:bCs/>
          <w:color w:val="auto"/>
          <w:szCs w:val="36"/>
        </w:rPr>
      </w:pPr>
      <w:r>
        <w:rPr>
          <w:rFonts w:hint="eastAsia"/>
          <w:bCs/>
          <w:color w:val="auto"/>
          <w:szCs w:val="36"/>
        </w:rPr>
        <w:t>意向承租（受让）函</w:t>
      </w:r>
    </w:p>
    <w:p>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海南省直辖县东方市广坝农场红心橙项目504.48亩农用地租赁</w:t>
      </w:r>
      <w:r>
        <w:rPr>
          <w:rFonts w:hint="eastAsia" w:ascii="Times New Roman" w:hAnsi="Times New Roman"/>
          <w:bCs/>
          <w:color w:val="auto"/>
          <w:sz w:val="24"/>
        </w:rPr>
        <w:t>，并承诺：</w:t>
      </w:r>
    </w:p>
    <w:p>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pPr>
        <w:spacing w:line="440" w:lineRule="exact"/>
        <w:ind w:firstLine="482" w:firstLineChars="200"/>
        <w:rPr>
          <w:rFonts w:ascii="Times New Roman" w:hAnsi="Times New Roman"/>
          <w:b/>
          <w:color w:val="auto"/>
          <w:sz w:val="24"/>
        </w:rPr>
      </w:pPr>
      <w:bookmarkStart w:id="17" w:name="_Toc13357"/>
      <w:bookmarkStart w:id="18" w:name="_Toc11532"/>
      <w:bookmarkStart w:id="19" w:name="_Toc28981"/>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pPr>
        <w:pStyle w:val="5"/>
        <w:spacing w:line="440" w:lineRule="exact"/>
        <w:rPr>
          <w:rFonts w:ascii="Times New Roman" w:hAnsi="Times New Roman"/>
          <w:bCs/>
          <w:color w:val="auto"/>
          <w:sz w:val="28"/>
          <w:szCs w:val="24"/>
        </w:rPr>
      </w:pPr>
      <w:bookmarkStart w:id="20" w:name="_Toc7009"/>
      <w:bookmarkStart w:id="21" w:name="_Toc24611"/>
      <w:bookmarkStart w:id="22" w:name="_Toc31003"/>
      <w:r>
        <w:rPr>
          <w:rFonts w:hint="eastAsia" w:ascii="Times New Roman" w:hAnsi="Times New Roman"/>
          <w:b/>
          <w:color w:val="auto"/>
          <w:sz w:val="24"/>
          <w:szCs w:val="24"/>
        </w:rPr>
        <w:t>10、最终解释权归海南省数农产权运营管理有限公司。</w:t>
      </w:r>
      <w:bookmarkEnd w:id="20"/>
      <w:bookmarkEnd w:id="21"/>
      <w:bookmarkEnd w:id="22"/>
    </w:p>
    <w:p>
      <w:pPr>
        <w:spacing w:line="312" w:lineRule="auto"/>
        <w:ind w:firstLine="3840" w:firstLineChars="1600"/>
        <w:rPr>
          <w:rFonts w:ascii="宋体" w:hAnsi="宋体" w:eastAsia="宋体" w:cs="宋体"/>
          <w:color w:val="auto"/>
          <w:sz w:val="24"/>
        </w:rPr>
      </w:pPr>
    </w:p>
    <w:p>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pPr>
        <w:pStyle w:val="3"/>
        <w:spacing w:line="240" w:lineRule="auto"/>
        <w:rPr>
          <w:rFonts w:ascii="黑体" w:hAnsi="黑体"/>
          <w:color w:val="auto"/>
        </w:rPr>
      </w:pPr>
      <w:bookmarkStart w:id="28" w:name="_Toc4580"/>
      <w:bookmarkStart w:id="29" w:name="_Toc14469"/>
      <w:bookmarkStart w:id="30" w:name="_Toc11237"/>
      <w:bookmarkStart w:id="31" w:name="_Toc32101"/>
      <w:bookmarkStart w:id="32" w:name="_Toc29841"/>
      <w:bookmarkStart w:id="33" w:name="_Toc12264"/>
      <w:bookmarkStart w:id="34" w:name="_Toc1309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551"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560"/>
      </w:tblGrid>
      <w:tr>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8138" w:type="dxa"/>
            <w:gridSpan w:val="12"/>
            <w:tcBorders>
              <w:top w:val="single" w:color="auto" w:sz="4" w:space="0"/>
              <w:left w:val="single" w:color="auto" w:sz="4" w:space="0"/>
              <w:bottom w:val="single" w:color="auto" w:sz="4" w:space="0"/>
              <w:right w:val="single" w:color="auto" w:sz="4" w:space="0"/>
            </w:tcBorders>
            <w:vAlign w:val="center"/>
          </w:tcPr>
          <w:p>
            <w:pPr>
              <w:pStyle w:val="2"/>
              <w:rPr>
                <w:color w:val="auto"/>
              </w:rPr>
            </w:pPr>
          </w:p>
        </w:tc>
      </w:tr>
      <w:tr>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49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49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8138"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eastAsia="宋体"/>
                <w:color w:val="auto"/>
                <w:sz w:val="22"/>
                <w:lang w:eastAsia="zh-CN"/>
              </w:rPr>
            </w:pPr>
            <w:r>
              <w:rPr>
                <w:rFonts w:hint="eastAsia" w:ascii="宋体" w:hAnsi="宋体" w:eastAsia="宋体"/>
                <w:bCs/>
                <w:color w:val="auto"/>
                <w:sz w:val="22"/>
                <w:lang w:val="en-US" w:eastAsia="zh-CN"/>
              </w:rPr>
              <w:t>单位</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618" w:type="dxa"/>
            <w:gridSpan w:val="11"/>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490"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490" w:type="dxa"/>
            <w:gridSpan w:val="3"/>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618"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tblPrEx>
          <w:tblCellMar>
            <w:top w:w="0" w:type="dxa"/>
            <w:left w:w="0" w:type="dxa"/>
            <w:bottom w:w="0" w:type="dxa"/>
            <w:right w:w="0" w:type="dxa"/>
          </w:tblCellMar>
        </w:tblPrEx>
        <w:trPr>
          <w:cantSplit/>
          <w:trHeight w:val="2158"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618"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618"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618" w:type="dxa"/>
            <w:gridSpan w:val="11"/>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618" w:type="dxa"/>
            <w:gridSpan w:val="11"/>
            <w:tcBorders>
              <w:top w:val="single" w:color="auto" w:sz="4" w:space="0"/>
              <w:left w:val="single" w:color="auto" w:sz="4" w:space="0"/>
              <w:bottom w:val="single" w:color="auto" w:sz="4" w:space="0"/>
              <w:right w:val="single" w:color="auto" w:sz="4" w:space="0"/>
            </w:tcBorders>
            <w:vAlign w:val="bottom"/>
          </w:tcPr>
          <w:p>
            <w:pPr>
              <w:spacing w:line="360" w:lineRule="auto"/>
              <w:rPr>
                <w:rFonts w:ascii="宋体" w:hAnsi="宋体" w:eastAsia="宋体"/>
                <w:color w:val="auto"/>
                <w:sz w:val="22"/>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565" w:type="dxa"/>
            <w:gridSpan w:val="4"/>
            <w:tcBorders>
              <w:top w:val="single" w:color="auto" w:sz="4" w:space="0"/>
              <w:left w:val="single" w:color="auto" w:sz="4" w:space="0"/>
              <w:bottom w:val="single" w:color="auto" w:sz="4" w:space="0"/>
              <w:right w:val="single" w:color="auto" w:sz="4" w:space="0"/>
            </w:tcBorders>
            <w:vAlign w:val="center"/>
          </w:tcPr>
          <w:p>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color w:val="auto"/>
              </w:rPr>
            </w:pPr>
          </w:p>
          <w:p>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color w:val="auto"/>
              </w:rPr>
            </w:pPr>
          </w:p>
          <w:p>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560" w:type="dxa"/>
            <w:tcBorders>
              <w:top w:val="single" w:color="auto" w:sz="4" w:space="0"/>
              <w:left w:val="single" w:color="auto" w:sz="4" w:space="0"/>
              <w:bottom w:val="single" w:color="auto" w:sz="4" w:space="0"/>
              <w:right w:val="single" w:color="auto" w:sz="4" w:space="0"/>
            </w:tcBorders>
            <w:vAlign w:val="center"/>
          </w:tcPr>
          <w:p>
            <w:pPr>
              <w:pStyle w:val="17"/>
              <w:spacing w:line="360" w:lineRule="auto"/>
              <w:jc w:val="center"/>
              <w:rPr>
                <w:rFonts w:ascii="宋体" w:hAnsi="宋体" w:eastAsia="宋体"/>
                <w:color w:val="auto"/>
                <w:sz w:val="22"/>
                <w:szCs w:val="24"/>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8138"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565"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default" w:ascii="宋体" w:hAnsi="宋体" w:eastAsia="宋体"/>
                <w:color w:val="auto"/>
                <w:sz w:val="22"/>
                <w:lang w:val="en-US" w:eastAsia="zh-CN"/>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565" w:type="dxa"/>
            <w:gridSpan w:val="4"/>
            <w:tcBorders>
              <w:top w:val="single" w:color="auto" w:sz="4" w:space="0"/>
              <w:left w:val="single" w:color="auto" w:sz="4" w:space="0"/>
              <w:bottom w:val="single" w:color="auto" w:sz="4" w:space="0"/>
              <w:right w:val="single" w:color="auto" w:sz="4" w:space="0"/>
            </w:tcBorders>
            <w:vAlign w:val="bottom"/>
          </w:tcPr>
          <w:p>
            <w:pPr>
              <w:spacing w:line="360" w:lineRule="auto"/>
              <w:jc w:val="center"/>
              <w:rPr>
                <w:rFonts w:hint="default" w:ascii="宋体" w:hAnsi="宋体" w:eastAsia="宋体"/>
                <w:color w:val="auto"/>
                <w:sz w:val="22"/>
                <w:lang w:val="en-US" w:eastAsia="zh-CN"/>
              </w:rPr>
            </w:pPr>
          </w:p>
        </w:tc>
      </w:tr>
      <w:tr>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618" w:type="dxa"/>
            <w:gridSpan w:val="11"/>
            <w:tcBorders>
              <w:top w:val="single" w:color="auto" w:sz="4" w:space="0"/>
              <w:left w:val="nil"/>
              <w:bottom w:val="single" w:color="auto" w:sz="4" w:space="0"/>
              <w:right w:val="single" w:color="auto" w:sz="4" w:space="0"/>
            </w:tcBorders>
            <w:vAlign w:val="center"/>
          </w:tcPr>
          <w:p>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8138" w:type="dxa"/>
            <w:gridSpan w:val="12"/>
            <w:tcBorders>
              <w:top w:val="single" w:color="auto" w:sz="4" w:space="0"/>
              <w:left w:val="nil"/>
              <w:bottom w:val="single" w:color="auto" w:sz="4" w:space="0"/>
              <w:right w:val="single" w:color="auto" w:sz="4" w:space="0"/>
            </w:tcBorders>
            <w:vAlign w:val="center"/>
          </w:tcPr>
          <w:p>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pPr>
              <w:spacing w:line="360" w:lineRule="auto"/>
              <w:jc w:val="center"/>
              <w:rPr>
                <w:rFonts w:hint="default" w:ascii="宋体" w:hAnsi="宋体" w:eastAsiaTheme="minorEastAsia"/>
                <w:color w:val="auto"/>
                <w:sz w:val="22"/>
                <w:lang w:val="en-US" w:eastAsia="zh-CN"/>
              </w:rPr>
            </w:pPr>
            <w:r>
              <w:rPr>
                <w:rFonts w:hint="eastAsia" w:ascii="宋体" w:hAnsi="宋体"/>
                <w:bCs/>
                <w:color w:val="auto"/>
                <w:sz w:val="22"/>
              </w:rPr>
              <w:t>承租（受让）</w:t>
            </w:r>
            <w:r>
              <w:rPr>
                <w:rFonts w:hint="eastAsia" w:ascii="宋体" w:hAnsi="宋体" w:eastAsia="宋体"/>
                <w:bCs/>
                <w:color w:val="auto"/>
                <w:sz w:val="22"/>
                <w:lang w:val="en-US" w:eastAsia="zh-CN"/>
              </w:rPr>
              <w:t>用途描述</w:t>
            </w:r>
          </w:p>
        </w:tc>
        <w:tc>
          <w:tcPr>
            <w:tcW w:w="8138" w:type="dxa"/>
            <w:gridSpan w:val="1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eastAsia="宋体"/>
                <w:color w:val="auto"/>
                <w:sz w:val="22"/>
                <w:lang w:val="en-US" w:eastAsia="zh-CN"/>
              </w:rPr>
            </w:pPr>
          </w:p>
        </w:tc>
      </w:tr>
      <w:tr>
        <w:tblPrEx>
          <w:tblCellMar>
            <w:top w:w="0" w:type="dxa"/>
            <w:left w:w="0" w:type="dxa"/>
            <w:bottom w:w="0" w:type="dxa"/>
            <w:right w:w="0" w:type="dxa"/>
          </w:tblCellMar>
        </w:tblPrEx>
        <w:trPr>
          <w:cantSplit/>
          <w:trHeight w:val="232"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445"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tblPrEx>
          <w:tblCellMar>
            <w:top w:w="0" w:type="dxa"/>
            <w:left w:w="0" w:type="dxa"/>
            <w:bottom w:w="0" w:type="dxa"/>
            <w:right w:w="0" w:type="dxa"/>
          </w:tblCellMar>
        </w:tblPrEx>
        <w:trPr>
          <w:cantSplit/>
          <w:trHeight w:val="49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941"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auto"/>
                <w:sz w:val="22"/>
              </w:rPr>
            </w:pPr>
          </w:p>
        </w:tc>
      </w:tr>
      <w:tr>
        <w:tblPrEx>
          <w:tblCellMar>
            <w:top w:w="0" w:type="dxa"/>
            <w:left w:w="0" w:type="dxa"/>
            <w:bottom w:w="0" w:type="dxa"/>
            <w:right w:w="0" w:type="dxa"/>
          </w:tblCellMar>
        </w:tblPrEx>
        <w:trPr>
          <w:cantSplit/>
          <w:trHeight w:val="7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941"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auto"/>
                <w:sz w:val="22"/>
              </w:rPr>
            </w:pPr>
          </w:p>
        </w:tc>
      </w:tr>
      <w:tr>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lang w:val="en-US" w:eastAsia="zh-CN"/>
              </w:rPr>
              <w:t>单位</w:t>
            </w:r>
          </w:p>
        </w:tc>
        <w:tc>
          <w:tcPr>
            <w:tcW w:w="5445"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tblPrEx>
          <w:tblCellMar>
            <w:top w:w="0" w:type="dxa"/>
            <w:left w:w="0" w:type="dxa"/>
            <w:bottom w:w="0" w:type="dxa"/>
            <w:right w:w="0" w:type="dxa"/>
          </w:tblCellMar>
        </w:tblPrEx>
        <w:trPr>
          <w:cantSplit/>
          <w:trHeight w:val="232" w:hRule="atLeast"/>
          <w:jc w:val="center"/>
        </w:trPr>
        <w:tc>
          <w:tcPr>
            <w:tcW w:w="1413" w:type="dxa"/>
            <w:vMerge w:val="continue"/>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5445" w:type="dxa"/>
            <w:gridSpan w:val="9"/>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941" w:type="dxa"/>
            <w:gridSpan w:val="2"/>
            <w:vMerge w:val="restart"/>
            <w:tcBorders>
              <w:top w:val="single" w:color="auto" w:sz="4" w:space="0"/>
              <w:left w:val="single" w:color="auto" w:sz="4" w:space="0"/>
              <w:right w:val="single" w:color="auto" w:sz="4" w:space="0"/>
            </w:tcBorders>
            <w:vAlign w:val="center"/>
          </w:tcPr>
          <w:p>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941" w:type="dxa"/>
            <w:gridSpan w:val="2"/>
            <w:vMerge w:val="continue"/>
            <w:tcBorders>
              <w:left w:val="single" w:color="auto" w:sz="4" w:space="0"/>
              <w:right w:val="single" w:color="auto" w:sz="4" w:space="0"/>
            </w:tcBorders>
            <w:vAlign w:val="center"/>
          </w:tcPr>
          <w:p>
            <w:pPr>
              <w:spacing w:line="360" w:lineRule="auto"/>
              <w:jc w:val="left"/>
              <w:rPr>
                <w:rFonts w:ascii="宋体" w:hAnsi="宋体" w:eastAsia="宋体"/>
                <w:color w:val="auto"/>
                <w:sz w:val="22"/>
              </w:rPr>
            </w:pPr>
          </w:p>
        </w:tc>
      </w:tr>
      <w:tr>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941" w:type="dxa"/>
            <w:gridSpan w:val="2"/>
            <w:vMerge w:val="continue"/>
            <w:tcBorders>
              <w:left w:val="single" w:color="auto" w:sz="4" w:space="0"/>
              <w:bottom w:val="single" w:color="auto" w:sz="4" w:space="0"/>
              <w:right w:val="single" w:color="auto" w:sz="4" w:space="0"/>
            </w:tcBorders>
            <w:vAlign w:val="center"/>
          </w:tcPr>
          <w:p>
            <w:pPr>
              <w:spacing w:line="360" w:lineRule="auto"/>
              <w:jc w:val="left"/>
              <w:rPr>
                <w:rFonts w:ascii="宋体" w:hAnsi="宋体" w:eastAsia="宋体"/>
                <w:color w:val="auto"/>
                <w:sz w:val="22"/>
              </w:rPr>
            </w:pPr>
          </w:p>
        </w:tc>
      </w:tr>
    </w:tbl>
    <w:p>
      <w:pPr>
        <w:spacing w:line="570" w:lineRule="exact"/>
        <w:jc w:val="center"/>
        <w:rPr>
          <w:rFonts w:hint="eastAsia" w:ascii="方正小标宋简体" w:hAnsi="方正小标宋简体" w:eastAsia="方正小标宋简体" w:cs="方正小标宋简体"/>
          <w:b/>
          <w:bCs/>
          <w:color w:val="auto"/>
          <w:sz w:val="36"/>
          <w:szCs w:val="36"/>
          <w:u w:val="single"/>
        </w:rPr>
      </w:pPr>
    </w:p>
    <w:p>
      <w:pPr>
        <w:pStyle w:val="2"/>
        <w:rPr>
          <w:rFonts w:hint="eastAsia"/>
        </w:rPr>
      </w:pPr>
    </w:p>
    <w:p>
      <w:pPr>
        <w:spacing w:line="570" w:lineRule="exact"/>
        <w:jc w:val="center"/>
        <w:rPr>
          <w:rFonts w:hint="eastAsia" w:ascii="方正小标宋简体" w:hAnsi="方正小标宋简体" w:eastAsia="方正小标宋简体" w:cs="方正小标宋简体"/>
          <w:b/>
          <w:bCs/>
          <w:color w:val="auto"/>
          <w:sz w:val="36"/>
          <w:szCs w:val="36"/>
          <w:u w:val="single"/>
        </w:rPr>
      </w:pPr>
    </w:p>
    <w:p>
      <w:pPr>
        <w:spacing w:line="570" w:lineRule="exact"/>
        <w:jc w:val="center"/>
        <w:rPr>
          <w:rFonts w:hint="eastAsia" w:ascii="方正小标宋简体" w:hAnsi="方正小标宋简体" w:eastAsia="方正小标宋简体" w:cs="方正小标宋简体"/>
          <w:b/>
          <w:bCs/>
          <w:color w:val="auto"/>
          <w:sz w:val="36"/>
          <w:szCs w:val="36"/>
          <w:u w:val="single"/>
        </w:rPr>
      </w:pPr>
    </w:p>
    <w:p>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海南省直辖县东方市广坝农场红心橙项目504.48亩农用地租赁交易</w:t>
      </w:r>
      <w:r>
        <w:rPr>
          <w:rFonts w:hint="eastAsia" w:ascii="方正小标宋_GBK" w:hAnsi="方正小标宋_GBK" w:eastAsia="方正小标宋_GBK" w:cs="方正小标宋_GBK"/>
          <w:b/>
          <w:bCs/>
          <w:color w:val="auto"/>
          <w:sz w:val="36"/>
          <w:szCs w:val="36"/>
        </w:rPr>
        <w:t>公示</w:t>
      </w:r>
    </w:p>
    <w:p>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 xml:space="preserve">海南天然橡胶产业集团股有限公司广坝分公司 </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海南省直辖县东方市广坝农场红心橙项目504.48亩农用地租赁</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w:t>
      </w:r>
      <w:r>
        <w:rPr>
          <w:rFonts w:hint="eastAsia" w:asciiTheme="minorEastAsia" w:hAnsiTheme="minorEastAsia" w:cstheme="minorEastAsia"/>
          <w:color w:val="auto"/>
          <w:sz w:val="32"/>
          <w:szCs w:val="32"/>
          <w:lang w:val="en-US" w:eastAsia="zh-CN"/>
        </w:rPr>
        <w:t>公开招租</w:t>
      </w:r>
      <w:r>
        <w:rPr>
          <w:rFonts w:hint="eastAsia" w:asciiTheme="minorEastAsia" w:hAnsiTheme="minorEastAsia" w:eastAsiaTheme="minorEastAsia" w:cstheme="minorEastAsia"/>
          <w:color w:val="auto"/>
          <w:sz w:val="32"/>
          <w:szCs w:val="32"/>
        </w:rPr>
        <w:t>，依据《海南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pPr>
        <w:numPr>
          <w:ilvl w:val="0"/>
          <w:numId w:val="2"/>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r>
        <w:rPr>
          <w:rFonts w:hint="eastAsia" w:asciiTheme="minorEastAsia" w:hAnsiTheme="minorEastAsia" w:cstheme="minorEastAsia"/>
          <w:color w:val="auto"/>
          <w:sz w:val="28"/>
          <w:szCs w:val="28"/>
          <w:lang w:val="en-US" w:eastAsia="zh-CN"/>
        </w:rPr>
        <w:t>海南省直辖县东方市广坝农场红心橙项目504.48亩农用地租赁</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 xml:space="preserve">出租方：海南天然橡胶产业集团股有限公司广坝分公司 </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w:t>
      </w:r>
      <w:r>
        <w:rPr>
          <w:rFonts w:hint="eastAsia" w:asciiTheme="minorEastAsia" w:hAnsiTheme="minorEastAsia" w:eastAsiaTheme="minorEastAsia" w:cstheme="minorEastAsia"/>
          <w:color w:val="auto"/>
          <w:sz w:val="28"/>
          <w:szCs w:val="28"/>
          <w:lang w:val="en-US" w:eastAsia="zh-CN"/>
        </w:rPr>
        <w:t>：</w:t>
      </w:r>
      <w:r>
        <w:rPr>
          <w:rFonts w:hint="eastAsia" w:asciiTheme="minorEastAsia" w:hAnsiTheme="minorEastAsia" w:cstheme="minorEastAsia"/>
          <w:color w:val="auto"/>
          <w:sz w:val="28"/>
          <w:szCs w:val="28"/>
          <w:lang w:val="en-US" w:eastAsia="zh-CN"/>
        </w:rPr>
        <w:t>504.48</w:t>
      </w:r>
      <w:r>
        <w:rPr>
          <w:rFonts w:hint="eastAsia" w:asciiTheme="minorEastAsia" w:hAnsiTheme="minorEastAsia" w:eastAsiaTheme="minorEastAsia" w:cstheme="minorEastAsia"/>
          <w:color w:val="auto"/>
          <w:sz w:val="28"/>
          <w:szCs w:val="28"/>
          <w:lang w:val="en-US" w:eastAsia="zh-CN"/>
        </w:rPr>
        <w:t>亩</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挂网底价：</w:t>
      </w:r>
      <w:r>
        <w:rPr>
          <w:rFonts w:hint="eastAsia" w:asciiTheme="minorEastAsia" w:hAnsiTheme="minorEastAsia" w:cstheme="minorEastAsia"/>
          <w:color w:val="auto"/>
          <w:sz w:val="28"/>
          <w:szCs w:val="28"/>
          <w:lang w:val="en-US" w:eastAsia="zh-CN"/>
        </w:rPr>
        <w:t>252240元/年</w:t>
      </w:r>
    </w:p>
    <w:p>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w:t>
      </w:r>
      <w:r>
        <w:rPr>
          <w:rFonts w:hint="eastAsia" w:asciiTheme="minorEastAsia" w:hAnsiTheme="minorEastAsia" w:eastAsiaTheme="minorEastAsia" w:cstheme="minorEastAsia"/>
          <w:color w:val="auto"/>
          <w:sz w:val="28"/>
          <w:szCs w:val="28"/>
          <w:lang w:val="en-US" w:eastAsia="zh-CN"/>
        </w:rPr>
        <w:t>保证金</w:t>
      </w:r>
      <w:r>
        <w:rPr>
          <w:rFonts w:hint="eastAsia" w:asciiTheme="minorEastAsia" w:hAnsiTheme="minorEastAsia" w:cstheme="minorEastAsia"/>
          <w:color w:val="auto"/>
          <w:sz w:val="28"/>
          <w:szCs w:val="28"/>
          <w:lang w:val="en-US" w:eastAsia="zh-CN"/>
        </w:rPr>
        <w:t xml:space="preserve">：50448元 </w:t>
      </w:r>
    </w:p>
    <w:p>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w:t>
      </w:r>
      <w:bookmarkStart w:id="36" w:name="OLE_LINK2"/>
      <w:r>
        <w:rPr>
          <w:rFonts w:hint="eastAsia" w:asciiTheme="minorEastAsia" w:hAnsiTheme="minorEastAsia" w:cstheme="minorEastAsia"/>
          <w:color w:val="auto"/>
          <w:sz w:val="28"/>
          <w:szCs w:val="28"/>
          <w:lang w:val="en-US" w:eastAsia="zh-CN"/>
        </w:rPr>
        <w:t>2</w:t>
      </w:r>
      <w:bookmarkStart w:id="37" w:name="OLE_LINK5"/>
      <w:r>
        <w:rPr>
          <w:rFonts w:hint="eastAsia" w:asciiTheme="minorEastAsia" w:hAnsiTheme="minorEastAsia" w:cstheme="minorEastAsia"/>
          <w:color w:val="auto"/>
          <w:sz w:val="28"/>
          <w:szCs w:val="28"/>
          <w:lang w:val="en-US" w:eastAsia="zh-CN"/>
        </w:rPr>
        <w:t>026年3月20日</w:t>
      </w:r>
      <w:bookmarkEnd w:id="36"/>
      <w:bookmarkStart w:id="38" w:name="OLE_LINK4"/>
      <w:r>
        <w:rPr>
          <w:rFonts w:hint="eastAsia" w:asciiTheme="minorEastAsia" w:hAnsiTheme="minorEastAsia" w:cstheme="minorEastAsia"/>
          <w:color w:val="auto"/>
          <w:sz w:val="28"/>
          <w:szCs w:val="28"/>
          <w:lang w:val="en-US" w:eastAsia="zh-CN"/>
        </w:rPr>
        <w:t>17:00</w:t>
      </w:r>
      <w:bookmarkEnd w:id="38"/>
      <w:r>
        <w:rPr>
          <w:rFonts w:hint="eastAsia" w:asciiTheme="minorEastAsia" w:hAnsiTheme="minorEastAsia" w:cstheme="minorEastAsia"/>
          <w:color w:val="auto"/>
          <w:sz w:val="28"/>
          <w:szCs w:val="28"/>
          <w:lang w:val="en-US" w:eastAsia="zh-CN"/>
        </w:rPr>
        <w:t>-2026年3月26日17:00</w:t>
      </w:r>
      <w:bookmarkEnd w:id="37"/>
    </w:p>
    <w:p>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rPr>
      </w:pPr>
      <w:r>
        <w:rPr>
          <w:rFonts w:hint="eastAsia" w:asciiTheme="minorEastAsia" w:hAnsiTheme="minorEastAsia" w:cstheme="minorEastAsia"/>
          <w:color w:val="auto"/>
          <w:sz w:val="28"/>
          <w:szCs w:val="28"/>
          <w:lang w:val="en-US" w:eastAsia="zh-CN"/>
        </w:rPr>
        <w:t>竞拍时间：2026年3月27日10:00-16:00</w:t>
      </w:r>
    </w:p>
    <w:p>
      <w:pPr>
        <w:numPr>
          <w:ilvl w:val="0"/>
          <w:numId w:val="0"/>
        </w:numPr>
        <w:spacing w:line="520" w:lineRule="exact"/>
        <w:ind w:firstLine="560" w:firstLineChars="200"/>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租金一年一付。</w:t>
      </w:r>
    </w:p>
    <w:p>
      <w:p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现场勘查联系方式：欧兴盛 18889855903</w:t>
      </w:r>
    </w:p>
    <w:p>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报名地址：海南省海口市龙华区汇泰大厦2楼。</w:t>
      </w:r>
    </w:p>
    <w:p>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pPr>
        <w:pStyle w:val="5"/>
        <w:jc w:val="right"/>
        <w:rPr>
          <w:b/>
          <w:bCs/>
          <w:color w:val="auto"/>
          <w:sz w:val="28"/>
          <w:szCs w:val="36"/>
        </w:rPr>
      </w:pPr>
      <w:r>
        <w:rPr>
          <w:rFonts w:hint="eastAsia"/>
          <w:b/>
          <w:bCs/>
          <w:color w:val="auto"/>
          <w:sz w:val="28"/>
          <w:szCs w:val="36"/>
        </w:rPr>
        <w:t>已详细阅读此交易公示，对此交易公示内容无异议。</w:t>
      </w:r>
    </w:p>
    <w:p>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pPr>
        <w:pStyle w:val="7"/>
        <w:rPr>
          <w:rFonts w:hint="eastAsia" w:eastAsiaTheme="minorEastAsia"/>
          <w:color w:val="auto"/>
          <w:lang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761B021-6C5A-498D-81E4-581FF08C222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2" w:fontKey="{07B8D3CE-87C5-4682-BAF9-CEE2EE318110}"/>
  </w:font>
  <w:font w:name="新宋体">
    <w:panose1 w:val="02010609030101010101"/>
    <w:charset w:val="86"/>
    <w:family w:val="modern"/>
    <w:pitch w:val="default"/>
    <w:sig w:usb0="00000203" w:usb1="288F0000" w:usb2="00000006" w:usb3="00000000" w:csb0="00040001" w:csb1="00000000"/>
    <w:embedRegular r:id="rId3" w:fontKey="{E9855CBB-CD0E-49B3-A6B7-02C127D728BE}"/>
  </w:font>
  <w:font w:name="微软雅黑">
    <w:panose1 w:val="020B0503020204020204"/>
    <w:charset w:val="86"/>
    <w:family w:val="swiss"/>
    <w:pitch w:val="default"/>
    <w:sig w:usb0="80000287" w:usb1="2ACF3C50" w:usb2="00000016" w:usb3="00000000" w:csb0="0004001F" w:csb1="00000000"/>
    <w:embedRegular r:id="rId4" w:fontKey="{F322C0B6-E1FF-4EFF-8362-665FB12B501D}"/>
  </w:font>
  <w:font w:name="方正小标宋简体">
    <w:panose1 w:val="02000000000000000000"/>
    <w:charset w:val="86"/>
    <w:family w:val="auto"/>
    <w:pitch w:val="default"/>
    <w:sig w:usb0="00000001" w:usb1="08000000" w:usb2="00000000" w:usb3="00000000" w:csb0="00040000" w:csb1="00000000"/>
    <w:embedRegular r:id="rId5" w:fontKey="{ACDDE0E7-F7FA-4E14-B0BE-6A89A128327B}"/>
  </w:font>
  <w:font w:name="仿宋">
    <w:panose1 w:val="02010609060101010101"/>
    <w:charset w:val="86"/>
    <w:family w:val="modern"/>
    <w:pitch w:val="default"/>
    <w:sig w:usb0="800002BF" w:usb1="38CF7CFA" w:usb2="00000016" w:usb3="00000000" w:csb0="00040001" w:csb1="00000000"/>
    <w:embedRegular r:id="rId6" w:fontKey="{939BD3EF-730E-4F4A-AFFF-E1A45D7FB20D}"/>
  </w:font>
  <w:font w:name="方正小标宋_GBK">
    <w:panose1 w:val="02000000000000000000"/>
    <w:charset w:val="86"/>
    <w:family w:val="auto"/>
    <w:pitch w:val="default"/>
    <w:sig w:usb0="A00002BF" w:usb1="38CF7CFA" w:usb2="00082016" w:usb3="00000000" w:csb0="00040001" w:csb1="00000000"/>
    <w:embedRegular r:id="rId7" w:fontKey="{D475CE61-2C77-4C84-813F-FFB17BEAEBFE}"/>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wNTM5NzYwMDRjMzkwZTVkZjY2ODkwMGIxNGU0OTUifQ=="/>
    <w:docVar w:name="KSO_WPS_MARK_KEY" w:val="a071b07a-f89d-47b9-a9e7-8c7759051b1b"/>
  </w:docVars>
  <w:rsids>
    <w:rsidRoot w:val="12B3511E"/>
    <w:rsid w:val="00075E67"/>
    <w:rsid w:val="00125DA0"/>
    <w:rsid w:val="00167AC6"/>
    <w:rsid w:val="00B57B36"/>
    <w:rsid w:val="00CD7376"/>
    <w:rsid w:val="00E03B4E"/>
    <w:rsid w:val="00E541D7"/>
    <w:rsid w:val="01BE4468"/>
    <w:rsid w:val="03911248"/>
    <w:rsid w:val="042277FF"/>
    <w:rsid w:val="0A8721A0"/>
    <w:rsid w:val="0B3E4CFC"/>
    <w:rsid w:val="0B7B2128"/>
    <w:rsid w:val="0B985CD3"/>
    <w:rsid w:val="0B9B49A3"/>
    <w:rsid w:val="0BAA1E51"/>
    <w:rsid w:val="0E68572F"/>
    <w:rsid w:val="0E9816ED"/>
    <w:rsid w:val="10396E71"/>
    <w:rsid w:val="107C242D"/>
    <w:rsid w:val="11471326"/>
    <w:rsid w:val="11DE52CB"/>
    <w:rsid w:val="12B3511E"/>
    <w:rsid w:val="13675364"/>
    <w:rsid w:val="147C6D2C"/>
    <w:rsid w:val="150A3847"/>
    <w:rsid w:val="15A9734B"/>
    <w:rsid w:val="18E10F33"/>
    <w:rsid w:val="1A0C35CC"/>
    <w:rsid w:val="1D6B5963"/>
    <w:rsid w:val="2163678E"/>
    <w:rsid w:val="22B158C3"/>
    <w:rsid w:val="231057D9"/>
    <w:rsid w:val="23C4301C"/>
    <w:rsid w:val="23E31938"/>
    <w:rsid w:val="24475A26"/>
    <w:rsid w:val="251C6948"/>
    <w:rsid w:val="264204D7"/>
    <w:rsid w:val="2741574C"/>
    <w:rsid w:val="2B5D17E5"/>
    <w:rsid w:val="2C765212"/>
    <w:rsid w:val="2E9D6297"/>
    <w:rsid w:val="3049135C"/>
    <w:rsid w:val="30B56AE1"/>
    <w:rsid w:val="327E6635"/>
    <w:rsid w:val="33A2474E"/>
    <w:rsid w:val="3516702D"/>
    <w:rsid w:val="356B5D48"/>
    <w:rsid w:val="37051454"/>
    <w:rsid w:val="37E601A9"/>
    <w:rsid w:val="3A7A2C02"/>
    <w:rsid w:val="3B867DC2"/>
    <w:rsid w:val="3DF039BB"/>
    <w:rsid w:val="3EE84C2D"/>
    <w:rsid w:val="3F1B2CA4"/>
    <w:rsid w:val="3F595A04"/>
    <w:rsid w:val="407816AF"/>
    <w:rsid w:val="40C3737E"/>
    <w:rsid w:val="40E21D7C"/>
    <w:rsid w:val="43315BEC"/>
    <w:rsid w:val="43AD1C7C"/>
    <w:rsid w:val="44912C24"/>
    <w:rsid w:val="46D36999"/>
    <w:rsid w:val="47C03328"/>
    <w:rsid w:val="47C30D05"/>
    <w:rsid w:val="48601C27"/>
    <w:rsid w:val="4B8D26EC"/>
    <w:rsid w:val="4C122427"/>
    <w:rsid w:val="4CB52F37"/>
    <w:rsid w:val="4D440E1C"/>
    <w:rsid w:val="4DC33073"/>
    <w:rsid w:val="4E3F7559"/>
    <w:rsid w:val="4ECE0172"/>
    <w:rsid w:val="500D0ED1"/>
    <w:rsid w:val="508453B6"/>
    <w:rsid w:val="510F337D"/>
    <w:rsid w:val="51516E47"/>
    <w:rsid w:val="51A46EB2"/>
    <w:rsid w:val="56073B1A"/>
    <w:rsid w:val="574014E1"/>
    <w:rsid w:val="592117E6"/>
    <w:rsid w:val="59D33C5A"/>
    <w:rsid w:val="59F42A57"/>
    <w:rsid w:val="5C4C6B7A"/>
    <w:rsid w:val="5CF93C67"/>
    <w:rsid w:val="615A757F"/>
    <w:rsid w:val="6327373A"/>
    <w:rsid w:val="63F7577F"/>
    <w:rsid w:val="64114247"/>
    <w:rsid w:val="64515E2E"/>
    <w:rsid w:val="64D61FAB"/>
    <w:rsid w:val="66381A59"/>
    <w:rsid w:val="66C801A8"/>
    <w:rsid w:val="6C0E3CC0"/>
    <w:rsid w:val="6F7105B5"/>
    <w:rsid w:val="6F71073E"/>
    <w:rsid w:val="70CD1AC5"/>
    <w:rsid w:val="72834841"/>
    <w:rsid w:val="72D44E0F"/>
    <w:rsid w:val="730E5B56"/>
    <w:rsid w:val="758F67AD"/>
    <w:rsid w:val="764417E6"/>
    <w:rsid w:val="786A7F85"/>
    <w:rsid w:val="791505B4"/>
    <w:rsid w:val="793673F3"/>
    <w:rsid w:val="7962105E"/>
    <w:rsid w:val="7A7C6A82"/>
    <w:rsid w:val="7BFC47DB"/>
    <w:rsid w:val="7E05604E"/>
    <w:rsid w:val="7E5356EF"/>
    <w:rsid w:val="7EAE310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4847;&#21521;&#26041;&#25253;&#21517;&#26448;&#26009;(&#26124;&#27743;&#20044;&#28872;&#38215;&#36947;&#38534;&#26449;&#22303;&#22320;&#32508;&#21512;&#25972;&#27835;&#39033;&#30446;&#27700;&#30000;175&#20137;&#21518;&#26399;&#31181;&#26893;&#31649;&#25252;&#25307;&#26631;-&#35831;&#19979;&#36733;&#21518;&#22635;&#20889;&#21152;&#30422;&#20844;&#31456;&#25110;&#31614;&#21517;&#21518;&#19978;&#20256;PDF&#29256;&#26412;).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意向方报名材料(昌江乌烈镇道隆村土地综合整治项目水田175亩后期种植管护招标-请下载后填写加盖公章或签名后上传PDF版本).docx</Template>
  <Pages>16</Pages>
  <Words>6734</Words>
  <Characters>7162</Characters>
  <Lines>59</Lines>
  <Paragraphs>16</Paragraphs>
  <TotalTime>1</TotalTime>
  <ScaleCrop>false</ScaleCrop>
  <LinksUpToDate>false</LinksUpToDate>
  <CharactersWithSpaces>7648</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2026-03-05T08:54:00Z</dcterms:created>
  <dc:creator>海南农交办公账号</dc:creator>
  <cp:lastModifiedBy>WPS_1767332586</cp:lastModifiedBy>
  <dcterms:modified xsi:type="dcterms:W3CDTF">2026-03-20T09:08:17Z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DD6FCBE125AF42BAB5E91E2671428A47_11</vt:lpwstr>
  </property>
  <property fmtid="{D5CDD505-2E9C-101B-9397-08002B2CF9AE}" pid="4" name="KSOTemplateDocerSaveRecord">
    <vt:lpwstr>eyJoZGlkIjoiYWFhYjE4MWFmOGQwMzBiMjRmYTI3Y2I3MzVhNDRkOTAiLCJ1c2VySWQiOiIxNTc0MTczNzE3In0=</vt:lpwstr>
  </property>
</Properties>
</file>