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E8333">
      <w:pPr>
        <w:keepNext w:val="0"/>
        <w:keepLines w:val="0"/>
        <w:widowControl/>
        <w:suppressLineNumbers w:val="0"/>
        <w:spacing w:line="52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鱼塘出租合同</w:t>
      </w:r>
    </w:p>
    <w:p w14:paraId="72813EE7">
      <w:pPr>
        <w:keepNext w:val="0"/>
        <w:keepLines w:val="0"/>
        <w:widowControl/>
        <w:suppressLineNumbers w:val="0"/>
        <w:spacing w:line="520" w:lineRule="exact"/>
        <w:jc w:val="center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</w:p>
    <w:p w14:paraId="43CA5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为维护甲乙双方合法权益，根据《中华人民共和国民法典》等法律法规，遵循平等、自愿、公平、诚信原则，经双方协商一致，订立本合同。</w:t>
      </w:r>
    </w:p>
    <w:p w14:paraId="2C209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16C96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甲方（出租方）：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文昌市龙楼镇吉水村吉水二西组集体经济组织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</w:t>
      </w:r>
    </w:p>
    <w:p w14:paraId="5479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社会信用代码: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>N1469005MF9035511J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</w:p>
    <w:p w14:paraId="4847F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身份证号码: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</w:t>
      </w:r>
    </w:p>
    <w:p w14:paraId="68597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法定代表人（负责人/农户代表人）：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符树团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 </w:t>
      </w:r>
    </w:p>
    <w:p w14:paraId="7FE77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460022198110183013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      </w:t>
      </w:r>
    </w:p>
    <w:p w14:paraId="7962C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联系地址：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龙楼镇吉水村委会吉水二西村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联系电话：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13519879158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</w:p>
    <w:p w14:paraId="62F19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经营主体类型：□自然人 □农村承包经营户 □农民专业合作社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□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家庭农场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□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农村集体经济组织 □公司 □其他: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</w:t>
      </w:r>
    </w:p>
    <w:p w14:paraId="1153C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43CCD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乙方（承租方）：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  </w:t>
      </w:r>
    </w:p>
    <w:p w14:paraId="3C229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□社会信用代码：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 </w:t>
      </w:r>
    </w:p>
    <w:p w14:paraId="3F9ED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□身份证号码: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</w:t>
      </w:r>
    </w:p>
    <w:p w14:paraId="2E3B8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法定代表人（负责人/农户代表人）：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</w:t>
      </w:r>
    </w:p>
    <w:p w14:paraId="267C7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   </w:t>
      </w:r>
    </w:p>
    <w:p w14:paraId="012AF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联系地址：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联系电话：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  </w:t>
      </w:r>
    </w:p>
    <w:p w14:paraId="23CBC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经营主体类型：□自然人 □农村承包经营户 □农民专业合作社 □家庭农场 □公司 □其他: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  </w:t>
      </w:r>
    </w:p>
    <w:p w14:paraId="5C6FC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第一条  出租标的及用途</w:t>
      </w:r>
    </w:p>
    <w:p w14:paraId="129A5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 标的物：甲方将位于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吉水二西村民小组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的集体鱼塘出租给乙方，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两个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总面积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46.36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亩，四至界限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分别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为：东至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三队鱼塘堤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、南至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吉水溪坎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、西至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永汇鱼塘堤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、北至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村南公路下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东至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三队鱼塘堤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、南至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吉水溪坎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、西至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永汇鱼塘堤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、北至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村南公路下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01D5A2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2.用途：乙方承租鱼塘用于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鱼类养殖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，未经行政审批不得从事特种养殖或改变用途。</w:t>
      </w:r>
    </w:p>
    <w:p w14:paraId="55E8E7DF">
      <w:pPr>
        <w:spacing w:line="52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第二条  租赁期限与交付</w:t>
      </w:r>
    </w:p>
    <w:p w14:paraId="191685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1.租赁期限 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10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年，自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2026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年  月  日起至2036年  月  日止。  </w:t>
      </w:r>
    </w:p>
    <w:p w14:paraId="69BDF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2.交付时间 ：甲方应于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2026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4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10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日前完成鱼塘交付。</w:t>
      </w:r>
    </w:p>
    <w:p w14:paraId="77993735">
      <w:pPr>
        <w:spacing w:line="52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第三条  租金及支付方式</w:t>
      </w:r>
    </w:p>
    <w:p w14:paraId="170F6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1.租金标准 ：人民币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元/年（大写：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）。  </w:t>
      </w:r>
    </w:p>
    <w:p w14:paraId="564BD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2.支付方式 ：按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年一付，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租金每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递增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6.25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首期租金于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年__________月__________日前支付，后续租金应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于每个租赁年度开始前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日支付至甲方指定账户：  </w:t>
      </w:r>
    </w:p>
    <w:p w14:paraId="10F0E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开户名：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文昌市龙楼镇吉水村吉水二西组集体经济组织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</w:t>
      </w:r>
    </w:p>
    <w:p w14:paraId="0FCDF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开户行：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海南农村商业银行文昌龙楼支行          </w:t>
      </w:r>
    </w:p>
    <w:p w14:paraId="1DA96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账号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1025170100000117               </w:t>
      </w:r>
    </w:p>
    <w:p w14:paraId="3A722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default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3.其他：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</w:p>
    <w:p w14:paraId="2D62E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第四条  双方权利义务</w:t>
      </w:r>
    </w:p>
    <w:p w14:paraId="1790F8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（一）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甲方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权利  </w:t>
      </w:r>
    </w:p>
    <w:p w14:paraId="38A3BB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要求乙方按合同约定支付租金；</w:t>
      </w:r>
    </w:p>
    <w:p w14:paraId="03F774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监督乙方按合同约定的用途依法合理利用和保护出租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 w14:paraId="731D82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制止乙方损害出租鱼塘和农业资源的行为；</w:t>
      </w:r>
    </w:p>
    <w:p w14:paraId="5FB869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租赁期限届满后收回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 w14:paraId="6D80C5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其他: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362D6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）甲方的义务</w:t>
      </w:r>
    </w:p>
    <w:p w14:paraId="2D2E69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 确保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权属清晰，无纠纷；</w:t>
      </w:r>
    </w:p>
    <w:p w14:paraId="77204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按照合同约定交付出租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 w14:paraId="4BE8E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不得干涉和妨碍乙方依法进行的生产经营活动；  </w:t>
      </w:r>
    </w:p>
    <w:p w14:paraId="26F34F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.其他: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0C8887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（三）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乙方的权利</w:t>
      </w:r>
    </w:p>
    <w:p w14:paraId="5EB928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1.要求甲方按照合同约定交付出租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 w14:paraId="37C50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2.在合同约定的期限内占有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，自主开展生产经营并取得收益；</w:t>
      </w:r>
    </w:p>
    <w:p w14:paraId="22BEDC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3.租赁期限届满，有权在同等条件下优先承租；</w:t>
      </w:r>
    </w:p>
    <w:p w14:paraId="2EA950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4.乙方有权在鱼塘交付前就配套设备设施（如有）及水质进行检验，但因检验所支出的费用由乙方自行承担；</w:t>
      </w:r>
    </w:p>
    <w:p w14:paraId="30C7FE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.其他: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0DD44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）乙方的义务</w:t>
      </w:r>
    </w:p>
    <w:p w14:paraId="5CB3D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1.按照合同约定及时接受出租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（乙方一旦接受鱼塘，即视为对鱼塘验收无异议）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并按照约定向甲方支付租金；</w:t>
      </w:r>
    </w:p>
    <w:p w14:paraId="6ACC41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2.在法律法规政策规定和合同约定允许范围内合理利用出租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不得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损害出租鱼塘和农业资源的行为；</w:t>
      </w:r>
    </w:p>
    <w:p w14:paraId="733372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3.依据有关法律法规保护出租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，禁止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私自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转租、私挖取土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挖砂、破坏生态，违者承担法律责任； </w:t>
      </w:r>
    </w:p>
    <w:p w14:paraId="73D91A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禁止向鱼塘排放污染物或使用违禁饲料，若造成生态环境损害，需承担修复费用及法律责任。</w:t>
      </w:r>
    </w:p>
    <w:p w14:paraId="46D8CB0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转租鱼塘须经甲方书面同意，且次承租人需符合法律法规要求的资质。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</w:t>
      </w:r>
    </w:p>
    <w:p w14:paraId="486144D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其他约定</w:t>
      </w:r>
    </w:p>
    <w:p w14:paraId="1C8974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 一 ）甲方同意乙方依法</w:t>
      </w:r>
    </w:p>
    <w:p w14:paraId="5414C5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建设农业生产附属、配套设施</w:t>
      </w:r>
    </w:p>
    <w:p w14:paraId="65B730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经营权融资担保</w:t>
      </w:r>
    </w:p>
    <w:p w14:paraId="70F508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再流转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经营权</w:t>
      </w:r>
    </w:p>
    <w:p w14:paraId="556A52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□其他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:     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5E996E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（二）该出租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的财政补贴等归属：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养殖类政策性补贴归乙方所有，土地类补贴归甲方所有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779BCC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）本合同期限内， 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被依法征收、征用、占用时，有关地上附着物补偿费的归属：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若鱼塘被征收，地上附着物补偿归乙方，土地补偿归甲方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。</w:t>
      </w:r>
    </w:p>
    <w:p w14:paraId="3298C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）其他事项：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到期后，鱼塘附属物归甲方，并10日内退场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。</w:t>
      </w:r>
    </w:p>
    <w:p w14:paraId="2EC6B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第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条 不可抗力与合同解除</w:t>
      </w:r>
    </w:p>
    <w:p w14:paraId="054B61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（ 一）合同有效期间，因不可抗力因素致使合同全部不能履行时，本合同自动终止，甲方将合同终止日至租赁到期日的期限内已收取的租金退还给乙方；致使合同部分不能履行的，其他部分继续履行，租金可以作相应调整。</w:t>
      </w:r>
    </w:p>
    <w:p w14:paraId="4B5684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（二）如乙方在合同期满后需要继续经营该出租鱼塘，必须在合同期满前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     日内书面向甲方提出申请。如乙方不再继续经营的，必须在合同期满前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30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日内书面通知甲方，并在合同期满后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30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日内将原出租的鱼塘交还给甲方。</w:t>
      </w:r>
    </w:p>
    <w:p w14:paraId="212A7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（三）合同到期或者未到期由甲方依法提前收回出租鱼塘时， 乙方依法投资建设的农业生产附属、配套设施处置方式：</w:t>
      </w:r>
    </w:p>
    <w:p w14:paraId="419DC8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□由甲方无偿处置。</w:t>
      </w:r>
    </w:p>
    <w:p w14:paraId="7C1391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□经有资质的第三方评估后，由甲方支付价款购买。</w:t>
      </w:r>
    </w:p>
    <w:p w14:paraId="643F9A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□经双方协商后，由甲方支付价款购买。</w:t>
      </w:r>
    </w:p>
    <w:p w14:paraId="1C796E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☑由乙方恢复原状。</w:t>
      </w:r>
    </w:p>
    <w:p w14:paraId="4B3219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□其他: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。  </w:t>
      </w:r>
    </w:p>
    <w:p w14:paraId="3FF618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条  违约责任</w:t>
      </w:r>
    </w:p>
    <w:p w14:paraId="45F49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（一）任何一方违约给对方造成损失的，违约方应承担赔偿责任。</w:t>
      </w:r>
    </w:p>
    <w:p w14:paraId="343AE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（二）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甲方应按合同规定按时向乙方交付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 逾期一日应向乙方支付年租金的万分之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作为违约金。逾期超过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日， 乙方有权解除合同，甲方应当赔偿损失。</w:t>
      </w:r>
    </w:p>
    <w:p w14:paraId="71356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（三）甲方出租的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存在权属纠纷或经济纠纷，致使合同全部或部分不能履行的，甲方应当赔偿损失。</w:t>
      </w:r>
    </w:p>
    <w:p w14:paraId="1ABCD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（四）甲方违反合同约定擅自干涉和破坏乙方的生产经营,致使乙方无法进行正常的生产经营活动的，乙方有权解除合同，甲方应当赔偿损失。</w:t>
      </w:r>
    </w:p>
    <w:p w14:paraId="00747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（五）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乙方应按照合同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约定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按时足额向甲方支付租金，逾期一日乙方应向甲方支付年租金的万分之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作为违约金。 逾期超过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日，甲方有权解除合同，乙方应当赔偿损失。</w:t>
      </w:r>
    </w:p>
    <w:p w14:paraId="0C844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（六）乙方如私自在承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区域内取土或未经甲方及相关审批部门同意，私自改变标的用途和结构、破坏水利等基本设施或给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造成永久性损害的，甲方有权解除合同，收回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乙方应当赔偿对甲方造成的损失，并承担相关法律责任。</w:t>
      </w:r>
    </w:p>
    <w:p w14:paraId="71780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（七）合同期限届满的， 乙方应当按照合同约定将原出租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交还给甲方，逾期应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按租金标准向甲方支付占用费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5298A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（八）乙方转租鱼塘需经甲方书面同意，否则甲方有权解除本合同收回鱼塘并要求乙方按当年年租金的30%支付违约金，且乙方需承担由此给甲方造成的全部损失。</w:t>
      </w:r>
    </w:p>
    <w:p w14:paraId="2F53B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）本合同所述之损失，包括但不限于直接经济损失及因维权所支出的诉讼费、律师费、保全费、保全保险费、鉴定费、执行费等。</w:t>
      </w:r>
    </w:p>
    <w:p w14:paraId="1EBF6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条  争议解决</w:t>
      </w:r>
    </w:p>
    <w:p w14:paraId="53640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本合同履行中发生争议，双方应协商解决；协商不成的，可向甲方所在地人民法院起诉。</w:t>
      </w:r>
    </w:p>
    <w:p w14:paraId="66F5C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条  其他条款</w:t>
      </w:r>
    </w:p>
    <w:p w14:paraId="12A9F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 一）本合同未尽事宜，经甲方、乙方协商一致后可签订补充协议。补充协议与本合同具有同等法律效力。</w:t>
      </w:r>
    </w:p>
    <w:p w14:paraId="777CB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补充条款（可另附件）：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3248809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本合同自甲乙双方签字、盖章或者按指印之日起生效。本合同一式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</w:p>
    <w:p w14:paraId="52A653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份，由甲方、乙方、农村集体经济组织、乡（镇）人民政府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农业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管理部门、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，各执一份。</w:t>
      </w:r>
    </w:p>
    <w:p w14:paraId="24FAD6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70C6D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1BC8FC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5104E3DB">
      <w:pPr>
        <w:spacing w:before="88" w:line="224" w:lineRule="auto"/>
        <w:ind w:left="62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甲方：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2"/>
          <w:sz w:val="24"/>
          <w:szCs w:val="24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pacing w:val="-18"/>
          <w:sz w:val="24"/>
          <w:szCs w:val="24"/>
        </w:rPr>
        <w:t>乙方：</w:t>
      </w:r>
    </w:p>
    <w:p w14:paraId="18202D66">
      <w:pPr>
        <w:spacing w:line="312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5BF7D831">
      <w:pPr>
        <w:spacing w:line="312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047BDD3E">
      <w:pPr>
        <w:spacing w:before="78" w:line="218" w:lineRule="auto"/>
        <w:ind w:left="24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1"/>
          <w:w w:val="71"/>
          <w:kern w:val="0"/>
          <w:sz w:val="24"/>
          <w:szCs w:val="24"/>
          <w:fitText w:val="3187" w:id="414274830"/>
        </w:rPr>
        <w:t>法定代表人（负责人/农户代表人）签字</w:t>
      </w:r>
      <w:r>
        <w:rPr>
          <w:rFonts w:hint="eastAsia" w:asciiTheme="minorEastAsia" w:hAnsiTheme="minorEastAsia" w:eastAsiaTheme="minorEastAsia" w:cstheme="minorEastAsia"/>
          <w:color w:val="auto"/>
          <w:spacing w:val="12"/>
          <w:w w:val="71"/>
          <w:kern w:val="0"/>
          <w:sz w:val="24"/>
          <w:szCs w:val="24"/>
          <w:fitText w:val="3187" w:id="414274830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40"/>
          <w:w w:val="100"/>
          <w:sz w:val="24"/>
          <w:szCs w:val="24"/>
        </w:rPr>
        <w:t xml:space="preserve">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pacing w:val="-40"/>
          <w:w w:val="100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pacing w:val="-40"/>
          <w:w w:val="100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1"/>
          <w:w w:val="71"/>
          <w:kern w:val="0"/>
          <w:sz w:val="24"/>
          <w:szCs w:val="24"/>
          <w:fitText w:val="3187" w:id="414274830"/>
        </w:rPr>
        <w:t>法定代表人（负责人/农户代表人）签字</w:t>
      </w:r>
      <w:r>
        <w:rPr>
          <w:rFonts w:hint="eastAsia" w:asciiTheme="minorEastAsia" w:hAnsiTheme="minorEastAsia" w:eastAsiaTheme="minorEastAsia" w:cstheme="minorEastAsia"/>
          <w:color w:val="auto"/>
          <w:spacing w:val="12"/>
          <w:w w:val="71"/>
          <w:kern w:val="0"/>
          <w:sz w:val="24"/>
          <w:szCs w:val="24"/>
          <w:fitText w:val="3187" w:id="414274830"/>
        </w:rPr>
        <w:t>：</w:t>
      </w:r>
    </w:p>
    <w:p w14:paraId="0DD85B8F">
      <w:pPr>
        <w:spacing w:line="272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023C66F9">
      <w:pPr>
        <w:spacing w:before="88" w:line="224" w:lineRule="auto"/>
        <w:ind w:left="3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签订时间：</w:t>
      </w:r>
      <w:r>
        <w:rPr>
          <w:rFonts w:hint="eastAsia" w:asciiTheme="minorEastAsia" w:hAnsiTheme="minorEastAsia" w:eastAsiaTheme="minorEastAsia" w:cstheme="minorEastAsia"/>
          <w:color w:val="auto"/>
          <w:spacing w:val="-9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4"/>
          <w:szCs w:val="24"/>
          <w:u w:val="single" w:color="auto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-11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u w:val="single" w:color="auto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0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-13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4"/>
          <w:szCs w:val="24"/>
          <w:u w:val="single" w:color="auto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7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sz w:val="24"/>
          <w:szCs w:val="24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签订时间：</w:t>
      </w:r>
      <w:r>
        <w:rPr>
          <w:rFonts w:hint="eastAsia" w:asciiTheme="minorEastAsia" w:hAnsiTheme="minorEastAsia" w:eastAsiaTheme="minorEastAsia" w:cstheme="minorEastAsia"/>
          <w:color w:val="auto"/>
          <w:spacing w:val="-10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5"/>
          <w:sz w:val="24"/>
          <w:szCs w:val="24"/>
          <w:u w:val="single" w:color="auto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-12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-13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4"/>
          <w:szCs w:val="24"/>
          <w:u w:val="single" w:color="auto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0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-13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4"/>
          <w:szCs w:val="24"/>
          <w:u w:val="single" w:color="auto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7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日</w:t>
      </w:r>
    </w:p>
    <w:p w14:paraId="6EB18167">
      <w:pPr>
        <w:spacing w:before="173" w:line="225" w:lineRule="auto"/>
        <w:ind w:left="3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sectPr>
          <w:footerReference r:id="rId3" w:type="default"/>
          <w:pgSz w:w="11905" w:h="16840"/>
          <w:pgMar w:top="1431" w:right="1437" w:bottom="1189" w:left="1785" w:header="0" w:footer="939" w:gutter="0"/>
          <w:pgNumType w:fmt="decimal"/>
          <w:cols w:space="720" w:num="1"/>
        </w:sect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签订地点：</w:t>
      </w:r>
      <w:r>
        <w:rPr>
          <w:rFonts w:hint="eastAsia" w:asciiTheme="minorEastAsia" w:hAnsiTheme="minorEastAsia" w:eastAsiaTheme="minorEastAsia" w:cstheme="minorEastAsia"/>
          <w:color w:val="auto"/>
          <w:spacing w:val="-10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5"/>
          <w:sz w:val="24"/>
          <w:szCs w:val="24"/>
          <w:u w:val="single" w:color="auto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7"/>
          <w:sz w:val="24"/>
          <w:szCs w:val="24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签订地点：</w:t>
      </w:r>
      <w:r>
        <w:rPr>
          <w:rFonts w:hint="eastAsia" w:asciiTheme="minorEastAsia" w:hAnsiTheme="minorEastAsia" w:eastAsiaTheme="minorEastAsia" w:cstheme="minorEastAsia"/>
          <w:color w:val="auto"/>
          <w:spacing w:val="-9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 w:color="auto"/>
        </w:rPr>
        <w:t xml:space="preserve">               </w:t>
      </w:r>
    </w:p>
    <w:p w14:paraId="4E5E9F60">
      <w:pPr>
        <w:spacing w:before="104" w:line="218" w:lineRule="auto"/>
        <w:ind w:firstLine="290" w:firstLineChars="1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pacing w:val="-15"/>
          <w:sz w:val="32"/>
          <w:szCs w:val="32"/>
        </w:rPr>
        <w:t>附件清单：</w:t>
      </w:r>
    </w:p>
    <w:tbl>
      <w:tblPr>
        <w:tblStyle w:val="12"/>
        <w:tblW w:w="8368" w:type="dxa"/>
        <w:tblInd w:w="40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3541"/>
        <w:gridCol w:w="1558"/>
        <w:gridCol w:w="1133"/>
        <w:gridCol w:w="1138"/>
      </w:tblGrid>
      <w:tr w14:paraId="70BD4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98" w:type="dxa"/>
            <w:vAlign w:val="top"/>
          </w:tcPr>
          <w:p w14:paraId="036787C5">
            <w:pPr>
              <w:spacing w:before="182" w:line="224" w:lineRule="auto"/>
              <w:ind w:left="224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7"/>
                <w:szCs w:val="27"/>
              </w:rPr>
              <w:t>序号</w:t>
            </w:r>
          </w:p>
        </w:tc>
        <w:tc>
          <w:tcPr>
            <w:tcW w:w="3541" w:type="dxa"/>
            <w:vAlign w:val="top"/>
          </w:tcPr>
          <w:p w14:paraId="1D8242C4">
            <w:pPr>
              <w:spacing w:before="183" w:line="222" w:lineRule="auto"/>
              <w:ind w:left="1237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7"/>
                <w:szCs w:val="27"/>
              </w:rPr>
              <w:t>附件名称</w:t>
            </w:r>
          </w:p>
        </w:tc>
        <w:tc>
          <w:tcPr>
            <w:tcW w:w="1558" w:type="dxa"/>
            <w:vAlign w:val="top"/>
          </w:tcPr>
          <w:p w14:paraId="4F239EE4">
            <w:pPr>
              <w:spacing w:before="183" w:line="226" w:lineRule="auto"/>
              <w:ind w:left="223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7"/>
                <w:szCs w:val="27"/>
              </w:rPr>
              <w:t>是否具备</w:t>
            </w:r>
          </w:p>
        </w:tc>
        <w:tc>
          <w:tcPr>
            <w:tcW w:w="1133" w:type="dxa"/>
            <w:vAlign w:val="top"/>
          </w:tcPr>
          <w:p w14:paraId="432AE98E">
            <w:pPr>
              <w:spacing w:before="182" w:line="225" w:lineRule="auto"/>
              <w:ind w:left="320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7"/>
                <w:szCs w:val="27"/>
              </w:rPr>
              <w:t>页数</w:t>
            </w:r>
          </w:p>
        </w:tc>
        <w:tc>
          <w:tcPr>
            <w:tcW w:w="1138" w:type="dxa"/>
            <w:vAlign w:val="top"/>
          </w:tcPr>
          <w:p w14:paraId="3AD86319">
            <w:pPr>
              <w:spacing w:before="183" w:line="226" w:lineRule="auto"/>
              <w:ind w:left="300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3"/>
                <w:sz w:val="27"/>
                <w:szCs w:val="27"/>
              </w:rPr>
              <w:t>备注</w:t>
            </w:r>
          </w:p>
        </w:tc>
      </w:tr>
      <w:tr w14:paraId="596B4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6F20EFA0">
            <w:pPr>
              <w:spacing w:before="213" w:line="184" w:lineRule="auto"/>
              <w:ind w:left="454"/>
              <w:jc w:val="center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z w:val="27"/>
                <w:szCs w:val="27"/>
              </w:rPr>
              <w:t>1</w:t>
            </w:r>
          </w:p>
        </w:tc>
        <w:tc>
          <w:tcPr>
            <w:tcW w:w="3541" w:type="dxa"/>
            <w:vAlign w:val="top"/>
          </w:tcPr>
          <w:p w14:paraId="2C313A0D">
            <w:pPr>
              <w:spacing w:before="177" w:line="223" w:lineRule="auto"/>
              <w:ind w:left="153"/>
              <w:jc w:val="center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7"/>
                <w:szCs w:val="27"/>
              </w:rPr>
              <w:t>甲方、乙方的证件复印件</w:t>
            </w:r>
          </w:p>
        </w:tc>
        <w:tc>
          <w:tcPr>
            <w:tcW w:w="1558" w:type="dxa"/>
            <w:vAlign w:val="top"/>
          </w:tcPr>
          <w:p w14:paraId="01806850">
            <w:pPr>
              <w:pStyle w:val="13"/>
              <w:jc w:val="center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540DD142">
            <w:pPr>
              <w:pStyle w:val="13"/>
              <w:jc w:val="center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2526FD03">
            <w:pPr>
              <w:pStyle w:val="13"/>
              <w:jc w:val="center"/>
              <w:rPr>
                <w:color w:val="auto"/>
              </w:rPr>
            </w:pPr>
          </w:p>
        </w:tc>
      </w:tr>
      <w:tr w14:paraId="7E4EC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8" w:type="dxa"/>
            <w:vAlign w:val="top"/>
          </w:tcPr>
          <w:p w14:paraId="1A137367">
            <w:pPr>
              <w:spacing w:before="214" w:line="184" w:lineRule="auto"/>
              <w:ind w:left="447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z w:val="27"/>
                <w:szCs w:val="27"/>
              </w:rPr>
              <w:t>2</w:t>
            </w:r>
          </w:p>
        </w:tc>
        <w:tc>
          <w:tcPr>
            <w:tcW w:w="3541" w:type="dxa"/>
            <w:vAlign w:val="top"/>
          </w:tcPr>
          <w:p w14:paraId="194B9179">
            <w:pPr>
              <w:spacing w:before="177" w:line="223" w:lineRule="auto"/>
              <w:ind w:left="148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7"/>
                <w:szCs w:val="27"/>
              </w:rPr>
              <w:t>出租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7"/>
                <w:szCs w:val="27"/>
                <w:lang w:val="en-US" w:eastAsia="zh-CN"/>
              </w:rPr>
              <w:t>鱼塘</w:t>
            </w:r>
            <w:r>
              <w:rPr>
                <w:rFonts w:ascii="仿宋" w:hAnsi="仿宋" w:eastAsia="仿宋" w:cs="仿宋"/>
                <w:color w:val="auto"/>
                <w:spacing w:val="4"/>
                <w:sz w:val="27"/>
                <w:szCs w:val="27"/>
              </w:rPr>
              <w:t>的权属证明</w:t>
            </w:r>
          </w:p>
        </w:tc>
        <w:tc>
          <w:tcPr>
            <w:tcW w:w="1558" w:type="dxa"/>
            <w:vAlign w:val="top"/>
          </w:tcPr>
          <w:p w14:paraId="235C75E7">
            <w:pPr>
              <w:pStyle w:val="13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是</w:t>
            </w:r>
          </w:p>
        </w:tc>
        <w:tc>
          <w:tcPr>
            <w:tcW w:w="1133" w:type="dxa"/>
            <w:vAlign w:val="top"/>
          </w:tcPr>
          <w:p w14:paraId="243781D9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5930199D">
            <w:pPr>
              <w:pStyle w:val="13"/>
              <w:rPr>
                <w:color w:val="auto"/>
              </w:rPr>
            </w:pPr>
          </w:p>
        </w:tc>
      </w:tr>
      <w:tr w14:paraId="326C9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38C7E25B">
            <w:pPr>
              <w:spacing w:before="214" w:line="186" w:lineRule="auto"/>
              <w:ind w:left="458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z w:val="27"/>
                <w:szCs w:val="27"/>
              </w:rPr>
              <w:t>3</w:t>
            </w:r>
          </w:p>
        </w:tc>
        <w:tc>
          <w:tcPr>
            <w:tcW w:w="3541" w:type="dxa"/>
            <w:vAlign w:val="top"/>
          </w:tcPr>
          <w:p w14:paraId="06EB5E46">
            <w:pPr>
              <w:spacing w:before="179" w:line="223" w:lineRule="auto"/>
              <w:ind w:left="149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7"/>
                <w:szCs w:val="27"/>
              </w:rPr>
              <w:t>出租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7"/>
                <w:szCs w:val="27"/>
                <w:lang w:val="en-US" w:eastAsia="zh-CN"/>
              </w:rPr>
              <w:t>鱼塘</w:t>
            </w:r>
            <w:r>
              <w:rPr>
                <w:rFonts w:ascii="仿宋" w:hAnsi="仿宋" w:eastAsia="仿宋" w:cs="仿宋"/>
                <w:color w:val="auto"/>
                <w:spacing w:val="5"/>
                <w:sz w:val="27"/>
                <w:szCs w:val="27"/>
              </w:rPr>
              <w:t>四至范围附图</w:t>
            </w:r>
          </w:p>
        </w:tc>
        <w:tc>
          <w:tcPr>
            <w:tcW w:w="1558" w:type="dxa"/>
            <w:vAlign w:val="top"/>
          </w:tcPr>
          <w:p w14:paraId="1AFAAC3E"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是</w:t>
            </w:r>
          </w:p>
        </w:tc>
        <w:tc>
          <w:tcPr>
            <w:tcW w:w="1133" w:type="dxa"/>
            <w:vAlign w:val="top"/>
          </w:tcPr>
          <w:p w14:paraId="346B90D2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4A3426F0">
            <w:pPr>
              <w:pStyle w:val="13"/>
              <w:rPr>
                <w:color w:val="auto"/>
              </w:rPr>
            </w:pPr>
          </w:p>
        </w:tc>
      </w:tr>
      <w:tr w14:paraId="275AB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998" w:type="dxa"/>
            <w:vAlign w:val="top"/>
          </w:tcPr>
          <w:p w14:paraId="63A5011E">
            <w:pPr>
              <w:pStyle w:val="13"/>
              <w:spacing w:line="300" w:lineRule="auto"/>
              <w:rPr>
                <w:color w:val="auto"/>
              </w:rPr>
            </w:pPr>
          </w:p>
          <w:p w14:paraId="1DE19446">
            <w:pPr>
              <w:pStyle w:val="13"/>
              <w:spacing w:line="300" w:lineRule="auto"/>
              <w:rPr>
                <w:color w:val="auto"/>
              </w:rPr>
            </w:pPr>
          </w:p>
          <w:p w14:paraId="777A1F53">
            <w:pPr>
              <w:pStyle w:val="13"/>
              <w:spacing w:line="301" w:lineRule="auto"/>
              <w:rPr>
                <w:color w:val="auto"/>
              </w:rPr>
            </w:pPr>
          </w:p>
          <w:p w14:paraId="69DADAAB">
            <w:pPr>
              <w:spacing w:before="88" w:line="184" w:lineRule="auto"/>
              <w:ind w:left="446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z w:val="27"/>
                <w:szCs w:val="27"/>
              </w:rPr>
              <w:t>4</w:t>
            </w:r>
          </w:p>
        </w:tc>
        <w:tc>
          <w:tcPr>
            <w:tcW w:w="3541" w:type="dxa"/>
            <w:vAlign w:val="top"/>
          </w:tcPr>
          <w:p w14:paraId="4BB9EF85">
            <w:pPr>
              <w:spacing w:before="178" w:line="324" w:lineRule="auto"/>
              <w:ind w:left="111" w:right="105" w:firstLine="1"/>
              <w:jc w:val="both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7"/>
                <w:szCs w:val="27"/>
              </w:rPr>
              <w:t>其他（例如：附属建筑及设</w:t>
            </w:r>
            <w:r>
              <w:rPr>
                <w:rFonts w:ascii="仿宋" w:hAnsi="仿宋" w:eastAsia="仿宋" w:cs="仿宋"/>
                <w:color w:val="auto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6"/>
                <w:sz w:val="27"/>
                <w:szCs w:val="27"/>
              </w:rPr>
              <w:t>施清单、村民会议决议书及</w:t>
            </w:r>
            <w:r>
              <w:rPr>
                <w:rFonts w:ascii="仿宋" w:hAnsi="仿宋" w:eastAsia="仿宋" w:cs="仿宋"/>
                <w:color w:val="auto"/>
                <w:spacing w:val="4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6"/>
                <w:sz w:val="27"/>
                <w:szCs w:val="27"/>
              </w:rPr>
              <w:t>公示材料、代办授权委托书</w:t>
            </w:r>
            <w:r>
              <w:rPr>
                <w:rFonts w:ascii="仿宋" w:hAnsi="仿宋" w:eastAsia="仿宋" w:cs="仿宋"/>
                <w:color w:val="auto"/>
                <w:spacing w:val="4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8"/>
                <w:sz w:val="27"/>
                <w:szCs w:val="27"/>
              </w:rPr>
              <w:t>和证件复印件等）</w:t>
            </w:r>
          </w:p>
        </w:tc>
        <w:tc>
          <w:tcPr>
            <w:tcW w:w="1558" w:type="dxa"/>
            <w:vAlign w:val="top"/>
          </w:tcPr>
          <w:p w14:paraId="701B73EC"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是</w:t>
            </w:r>
          </w:p>
        </w:tc>
        <w:tc>
          <w:tcPr>
            <w:tcW w:w="1133" w:type="dxa"/>
            <w:vAlign w:val="top"/>
          </w:tcPr>
          <w:p w14:paraId="25674EC0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0C616E42">
            <w:pPr>
              <w:pStyle w:val="13"/>
              <w:rPr>
                <w:color w:val="auto"/>
              </w:rPr>
            </w:pPr>
          </w:p>
        </w:tc>
      </w:tr>
      <w:tr w14:paraId="0E1D7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8" w:type="dxa"/>
            <w:vAlign w:val="top"/>
          </w:tcPr>
          <w:p w14:paraId="43707B9B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4F75324E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263B914B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4BBD18BF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4DC84B04">
            <w:pPr>
              <w:pStyle w:val="13"/>
              <w:rPr>
                <w:color w:val="auto"/>
              </w:rPr>
            </w:pPr>
          </w:p>
        </w:tc>
      </w:tr>
      <w:tr w14:paraId="2B7A1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46319654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6C63D88E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1FC620BD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120E4434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4737530E">
            <w:pPr>
              <w:pStyle w:val="13"/>
              <w:rPr>
                <w:color w:val="auto"/>
              </w:rPr>
            </w:pPr>
          </w:p>
        </w:tc>
      </w:tr>
      <w:tr w14:paraId="4B7A3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334135E8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5F56FF49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02A03750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1F9E4644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7FFE45E9">
            <w:pPr>
              <w:pStyle w:val="13"/>
              <w:rPr>
                <w:color w:val="auto"/>
              </w:rPr>
            </w:pPr>
          </w:p>
        </w:tc>
      </w:tr>
      <w:tr w14:paraId="56E56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8" w:type="dxa"/>
            <w:vAlign w:val="top"/>
          </w:tcPr>
          <w:p w14:paraId="428983B0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413AA935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09FDF379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35148168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22287077">
            <w:pPr>
              <w:pStyle w:val="13"/>
              <w:rPr>
                <w:color w:val="auto"/>
              </w:rPr>
            </w:pPr>
          </w:p>
        </w:tc>
      </w:tr>
      <w:tr w14:paraId="7E5A4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4F78B35B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55E77876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5A355307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285FF5E8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76A2F6A6">
            <w:pPr>
              <w:pStyle w:val="13"/>
              <w:rPr>
                <w:color w:val="auto"/>
              </w:rPr>
            </w:pPr>
          </w:p>
        </w:tc>
      </w:tr>
      <w:tr w14:paraId="0AEF3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998" w:type="dxa"/>
            <w:vAlign w:val="top"/>
          </w:tcPr>
          <w:p w14:paraId="1952AE6A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37E5E5CD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1B8846D5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03051BD8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4B7AF1E9">
            <w:pPr>
              <w:pStyle w:val="13"/>
              <w:rPr>
                <w:color w:val="auto"/>
              </w:rPr>
            </w:pPr>
          </w:p>
        </w:tc>
      </w:tr>
      <w:tr w14:paraId="19746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3BD4A0FD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0A9AD1AC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73FDD602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5B686908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5FC653A4">
            <w:pPr>
              <w:pStyle w:val="13"/>
              <w:rPr>
                <w:color w:val="auto"/>
              </w:rPr>
            </w:pPr>
          </w:p>
        </w:tc>
      </w:tr>
      <w:tr w14:paraId="49782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8" w:type="dxa"/>
            <w:vAlign w:val="top"/>
          </w:tcPr>
          <w:p w14:paraId="7C7316B5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7F3D45EA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4C4E25C6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39626748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15A84F68">
            <w:pPr>
              <w:pStyle w:val="13"/>
              <w:rPr>
                <w:color w:val="auto"/>
              </w:rPr>
            </w:pPr>
          </w:p>
        </w:tc>
      </w:tr>
      <w:tr w14:paraId="0B105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368" w:type="dxa"/>
            <w:gridSpan w:val="5"/>
            <w:vAlign w:val="top"/>
          </w:tcPr>
          <w:p w14:paraId="1E4F511F">
            <w:pPr>
              <w:spacing w:before="182" w:line="224" w:lineRule="auto"/>
              <w:ind w:left="2726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27"/>
                <w:szCs w:val="27"/>
              </w:rPr>
              <w:t>共计</w:t>
            </w:r>
            <w:r>
              <w:rPr>
                <w:rFonts w:ascii="仿宋" w:hAnsi="仿宋" w:eastAsia="仿宋" w:cs="仿宋"/>
                <w:color w:val="auto"/>
                <w:spacing w:val="6"/>
                <w:sz w:val="27"/>
                <w:szCs w:val="27"/>
              </w:rPr>
              <w:t xml:space="preserve">     </w:t>
            </w:r>
            <w:r>
              <w:rPr>
                <w:rFonts w:ascii="仿宋" w:hAnsi="仿宋" w:eastAsia="仿宋" w:cs="仿宋"/>
                <w:color w:val="auto"/>
                <w:spacing w:val="-6"/>
                <w:sz w:val="27"/>
                <w:szCs w:val="27"/>
              </w:rPr>
              <w:t>份，</w:t>
            </w:r>
            <w:r>
              <w:rPr>
                <w:rFonts w:ascii="仿宋" w:hAnsi="仿宋" w:eastAsia="仿宋" w:cs="仿宋"/>
                <w:color w:val="auto"/>
                <w:spacing w:val="17"/>
                <w:sz w:val="27"/>
                <w:szCs w:val="27"/>
              </w:rPr>
              <w:t xml:space="preserve">    </w:t>
            </w:r>
            <w:r>
              <w:rPr>
                <w:rFonts w:ascii="仿宋" w:hAnsi="仿宋" w:eastAsia="仿宋" w:cs="仿宋"/>
                <w:color w:val="auto"/>
                <w:spacing w:val="-6"/>
                <w:sz w:val="27"/>
                <w:szCs w:val="27"/>
              </w:rPr>
              <w:t>页。</w:t>
            </w:r>
          </w:p>
        </w:tc>
      </w:tr>
    </w:tbl>
    <w:p w14:paraId="1AE3E3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B08764C">
      <w:pPr>
        <w:rPr>
          <w:b/>
          <w:bCs/>
          <w:color w:val="auto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F613A">
    <w:pPr>
      <w:spacing w:before="1" w:line="17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8319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F8319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715186"/>
    <w:multiLevelType w:val="singleLevel"/>
    <w:tmpl w:val="F171518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A97D30B"/>
    <w:multiLevelType w:val="singleLevel"/>
    <w:tmpl w:val="1A97D30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D5196D7"/>
    <w:multiLevelType w:val="singleLevel"/>
    <w:tmpl w:val="4D5196D7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4DD5288"/>
    <w:multiLevelType w:val="singleLevel"/>
    <w:tmpl w:val="64DD5288"/>
    <w:lvl w:ilvl="0" w:tentative="0">
      <w:start w:val="5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GQ1ZTIyZjQ0ZTdlZDYwYmFiMTVhMDY5M2M5MjcifQ=="/>
  </w:docVars>
  <w:rsids>
    <w:rsidRoot w:val="6B910ACF"/>
    <w:rsid w:val="06737E72"/>
    <w:rsid w:val="080939C5"/>
    <w:rsid w:val="0A864998"/>
    <w:rsid w:val="0C0A4FC8"/>
    <w:rsid w:val="10240140"/>
    <w:rsid w:val="107439CE"/>
    <w:rsid w:val="136727F7"/>
    <w:rsid w:val="149F5803"/>
    <w:rsid w:val="15A66378"/>
    <w:rsid w:val="171E0726"/>
    <w:rsid w:val="1DE6275A"/>
    <w:rsid w:val="1F4870BD"/>
    <w:rsid w:val="22A618E1"/>
    <w:rsid w:val="2CFE28BC"/>
    <w:rsid w:val="2FCE474A"/>
    <w:rsid w:val="358204E9"/>
    <w:rsid w:val="362E1F8F"/>
    <w:rsid w:val="369542F7"/>
    <w:rsid w:val="37FE18DE"/>
    <w:rsid w:val="3B0A75B4"/>
    <w:rsid w:val="3BE03221"/>
    <w:rsid w:val="3C1A63F8"/>
    <w:rsid w:val="3F240D18"/>
    <w:rsid w:val="3F584BCF"/>
    <w:rsid w:val="3FA84403"/>
    <w:rsid w:val="3FC27A03"/>
    <w:rsid w:val="43835F63"/>
    <w:rsid w:val="439D7E95"/>
    <w:rsid w:val="45CC5F92"/>
    <w:rsid w:val="48295388"/>
    <w:rsid w:val="48883122"/>
    <w:rsid w:val="48B16176"/>
    <w:rsid w:val="4CDD12A8"/>
    <w:rsid w:val="4D550BC6"/>
    <w:rsid w:val="4FC926E8"/>
    <w:rsid w:val="51EA1D9C"/>
    <w:rsid w:val="52B4142D"/>
    <w:rsid w:val="55AF3AB7"/>
    <w:rsid w:val="57AD2092"/>
    <w:rsid w:val="59620A61"/>
    <w:rsid w:val="5A4A1E85"/>
    <w:rsid w:val="5FF92B75"/>
    <w:rsid w:val="615D6EDF"/>
    <w:rsid w:val="66DC71B9"/>
    <w:rsid w:val="67047CDA"/>
    <w:rsid w:val="69C9510B"/>
    <w:rsid w:val="6A81562A"/>
    <w:rsid w:val="6B910ACF"/>
    <w:rsid w:val="6C264CF2"/>
    <w:rsid w:val="73023D3C"/>
    <w:rsid w:val="74350D80"/>
    <w:rsid w:val="78EF290F"/>
    <w:rsid w:val="7C6B1360"/>
    <w:rsid w:val="7D440FF0"/>
    <w:rsid w:val="7F31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rFonts w:ascii="Verdana" w:hAnsi="Verdana"/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标题 4 Char"/>
    <w:link w:val="4"/>
    <w:autoRedefine/>
    <w:qFormat/>
    <w:uiPriority w:val="0"/>
    <w:rPr>
      <w:rFonts w:ascii="Arial" w:hAnsi="Arial" w:eastAsia="黑体"/>
      <w:b/>
      <w:sz w:val="28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autoRedefine/>
    <w:semiHidden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2604</Words>
  <Characters>2726</Characters>
  <Lines>0</Lines>
  <Paragraphs>0</Paragraphs>
  <TotalTime>16</TotalTime>
  <ScaleCrop>false</ScaleCrop>
  <LinksUpToDate>false</LinksUpToDate>
  <CharactersWithSpaces>3846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2024-04-21T02:41:00Z</dcterms:created>
  <dc:creator>莫海莹</dc:creator>
  <cp:lastModifiedBy>x't'x</cp:lastModifiedBy>
  <dcterms:modified xsi:type="dcterms:W3CDTF">2026-03-24T01:27:55Z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76C7681EA8D94FA2BE1CD4BC4D0DDE83_13</vt:lpwstr>
  </property>
  <property fmtid="{D5CDD505-2E9C-101B-9397-08002B2CF9AE}" pid="4" name="KSOTemplateDocerSaveRecord">
    <vt:lpwstr>eyJoZGlkIjoiMzAyYmQwNzRlN2U0MTAwNmZmMWMzNTVjMDRjYzUwMjciLCJ1c2VySWQiOiIzNjQzMzc0MDgifQ==</vt:lpwstr>
  </property>
</Properties>
</file>