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8879">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1511777A">
      <w:pPr>
        <w:pStyle w:val="5"/>
        <w:rPr>
          <w:color w:val="auto"/>
          <w:highlight w:val="none"/>
          <w:lang w:val="en-US" w:eastAsia="zh-CN"/>
        </w:rPr>
      </w:pPr>
    </w:p>
    <w:p w14:paraId="2D308935">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农村集体资源性资产出租合同</w:t>
      </w:r>
    </w:p>
    <w:p w14:paraId="74F22E85">
      <w:pPr>
        <w:keepNext w:val="0"/>
        <w:keepLines w:val="0"/>
        <w:widowControl/>
        <w:suppressLineNumbers w:val="0"/>
        <w:jc w:val="center"/>
        <w:rPr>
          <w:rFonts w:hint="eastAsia" w:ascii="黑体" w:hAnsi="黑体" w:eastAsia="黑体" w:cs="黑体"/>
          <w:color w:val="auto"/>
          <w:sz w:val="24"/>
          <w:szCs w:val="24"/>
          <w:highlight w:val="none"/>
        </w:rPr>
      </w:pPr>
    </w:p>
    <w:p w14:paraId="34CDD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为维护甲乙双方合法权益，根据《中华人民共和国民法典》《中华人民共和国合同法》等法律法规，遵循平等、自愿、公平、诚信原则，经双方协商一致，订立本合同。</w:t>
      </w:r>
    </w:p>
    <w:p w14:paraId="2BCB7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p>
    <w:p w14:paraId="5082A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甲方（出租方）：</w:t>
      </w:r>
      <w:r>
        <w:rPr>
          <w:rFonts w:hint="eastAsia" w:ascii="宋体" w:hAnsi="宋体" w:eastAsia="宋体" w:cs="宋体"/>
          <w:b w:val="0"/>
          <w:bCs/>
          <w:color w:val="auto"/>
          <w:sz w:val="24"/>
          <w:szCs w:val="24"/>
          <w:highlight w:val="none"/>
          <w:u w:val="single"/>
        </w:rPr>
        <w:t xml:space="preserve"> </w:t>
      </w:r>
      <w:r>
        <w:rPr>
          <w:rFonts w:hint="eastAsia" w:asciiTheme="minorEastAsia" w:hAnsiTheme="minorEastAsia" w:eastAsiaTheme="minorEastAsia" w:cstheme="minorEastAsia"/>
          <w:bCs/>
          <w:color w:val="auto"/>
          <w:kern w:val="2"/>
          <w:sz w:val="21"/>
          <w:szCs w:val="24"/>
          <w:highlight w:val="none"/>
          <w:u w:val="single"/>
          <w:lang w:val="en-US" w:eastAsia="zh-CN" w:bidi="ar-SA"/>
        </w:rPr>
        <w:t>东方市大田镇乐妹村股份经济合作社</w:t>
      </w:r>
    </w:p>
    <w:p w14:paraId="4D403B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社会信用代码: </w:t>
      </w:r>
      <w:r>
        <w:rPr>
          <w:rFonts w:hint="eastAsia" w:asciiTheme="minorEastAsia" w:hAnsiTheme="minorEastAsia" w:eastAsiaTheme="minorEastAsia" w:cstheme="minorEastAsia"/>
          <w:bCs/>
          <w:color w:val="auto"/>
          <w:kern w:val="2"/>
          <w:sz w:val="21"/>
          <w:szCs w:val="24"/>
          <w:highlight w:val="none"/>
          <w:u w:val="single"/>
          <w:lang w:val="en-US" w:eastAsia="zh-CN" w:bidi="ar-SA"/>
        </w:rPr>
        <w:t xml:space="preserve"> N2469007MF0101172M </w:t>
      </w:r>
    </w:p>
    <w:p w14:paraId="73345B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p>
    <w:p w14:paraId="0F07F5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符昌俊</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2339A6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460007199309028011</w:t>
      </w:r>
      <w:r>
        <w:rPr>
          <w:rFonts w:hint="eastAsia" w:ascii="宋体" w:hAnsi="宋体" w:eastAsia="宋体" w:cs="宋体"/>
          <w:b w:val="0"/>
          <w:bCs/>
          <w:color w:val="auto"/>
          <w:sz w:val="24"/>
          <w:szCs w:val="24"/>
          <w:highlight w:val="none"/>
          <w:u w:val="single"/>
        </w:rPr>
        <w:t xml:space="preserve"> </w:t>
      </w:r>
    </w:p>
    <w:p w14:paraId="065B98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w:t>
      </w:r>
      <w:r>
        <w:rPr>
          <w:rFonts w:hint="eastAsia" w:asciiTheme="minorEastAsia" w:hAnsiTheme="minorEastAsia" w:eastAsiaTheme="minorEastAsia" w:cstheme="minorEastAsia"/>
          <w:bCs/>
          <w:color w:val="auto"/>
          <w:kern w:val="2"/>
          <w:sz w:val="21"/>
          <w:szCs w:val="24"/>
          <w:highlight w:val="none"/>
          <w:u w:val="single"/>
          <w:lang w:val="en-US" w:eastAsia="zh-CN" w:bidi="ar-SA"/>
        </w:rPr>
        <w:t>东方市大田镇乐妹村</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联系电话：</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18389356800</w:t>
      </w:r>
      <w:r>
        <w:rPr>
          <w:rFonts w:hint="eastAsia" w:ascii="宋体" w:hAnsi="宋体" w:eastAsia="宋体" w:cs="宋体"/>
          <w:b w:val="0"/>
          <w:bCs/>
          <w:color w:val="auto"/>
          <w:sz w:val="24"/>
          <w:szCs w:val="24"/>
          <w:highlight w:val="none"/>
          <w:u w:val="single"/>
        </w:rPr>
        <w:t xml:space="preserve"> </w:t>
      </w:r>
    </w:p>
    <w:p w14:paraId="2C0296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 xml:space="preserve">经营主体类型：□自然人 □农村承包经营户 □农民专业合作社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家庭农场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农村集体经济组织 □公司 □其他:</w:t>
      </w:r>
      <w:r>
        <w:rPr>
          <w:rFonts w:hint="eastAsia" w:ascii="宋体" w:hAnsi="宋体" w:eastAsia="宋体" w:cs="宋体"/>
          <w:b w:val="0"/>
          <w:bCs/>
          <w:color w:val="auto"/>
          <w:sz w:val="24"/>
          <w:szCs w:val="24"/>
          <w:highlight w:val="none"/>
          <w:u w:val="single"/>
        </w:rPr>
        <w:t xml:space="preserve">          </w:t>
      </w:r>
    </w:p>
    <w:p w14:paraId="2C3F00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p>
    <w:p w14:paraId="1A0F6B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乙方（承租方）：</w:t>
      </w:r>
      <w:r>
        <w:rPr>
          <w:rFonts w:hint="eastAsia" w:ascii="宋体" w:hAnsi="宋体" w:eastAsia="宋体" w:cs="宋体"/>
          <w:b w:val="0"/>
          <w:bCs/>
          <w:color w:val="auto"/>
          <w:sz w:val="24"/>
          <w:szCs w:val="24"/>
          <w:highlight w:val="none"/>
          <w:u w:val="single"/>
        </w:rPr>
        <w:t xml:space="preserve">                 </w:t>
      </w:r>
    </w:p>
    <w:p w14:paraId="4F941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□社会信用代码：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7991E7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□身份证号码: </w:t>
      </w:r>
      <w:r>
        <w:rPr>
          <w:rFonts w:hint="eastAsia" w:ascii="宋体" w:hAnsi="宋体" w:eastAsia="宋体" w:cs="宋体"/>
          <w:b w:val="0"/>
          <w:bCs/>
          <w:color w:val="auto"/>
          <w:sz w:val="24"/>
          <w:szCs w:val="24"/>
          <w:highlight w:val="none"/>
          <w:u w:val="single"/>
        </w:rPr>
        <w:t xml:space="preserve">                  </w:t>
      </w:r>
    </w:p>
    <w:p w14:paraId="7DF34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w:t>
      </w:r>
    </w:p>
    <w:p w14:paraId="62FC4F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25D35A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w:t>
      </w:r>
    </w:p>
    <w:p w14:paraId="7DB56B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经营主体类型：□自然人 □农村承包经营户 □农民专业合作社 □家庭农场 □公司 □其他:</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4F38FD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出租标的及用途</w:t>
      </w:r>
    </w:p>
    <w:p w14:paraId="59956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标的物 ：甲方将位于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cs="宋体"/>
          <w:color w:val="auto"/>
          <w:sz w:val="24"/>
          <w:szCs w:val="24"/>
          <w:highlight w:val="none"/>
          <w:u w:val="single"/>
          <w:lang w:val="en-US" w:eastAsia="zh-CN"/>
        </w:rPr>
        <w:t xml:space="preserve"> 大田 </w:t>
      </w:r>
      <w:r>
        <w:rPr>
          <w:rFonts w:hint="eastAsia" w:ascii="宋体" w:hAnsi="宋体" w:eastAsia="宋体" w:cs="宋体"/>
          <w:color w:val="auto"/>
          <w:sz w:val="24"/>
          <w:szCs w:val="24"/>
          <w:highlight w:val="none"/>
        </w:rPr>
        <w:t>镇</w:t>
      </w:r>
      <w:r>
        <w:rPr>
          <w:rFonts w:hint="eastAsia" w:ascii="宋体" w:hAnsi="宋体" w:cs="宋体"/>
          <w:color w:val="auto"/>
          <w:sz w:val="24"/>
          <w:szCs w:val="24"/>
          <w:highlight w:val="none"/>
          <w:u w:val="single"/>
          <w:lang w:val="en-US" w:eastAsia="zh-CN"/>
        </w:rPr>
        <w:t xml:space="preserve"> 乐妹 </w:t>
      </w:r>
      <w:r>
        <w:rPr>
          <w:rFonts w:hint="eastAsia" w:ascii="宋体" w:hAnsi="宋体" w:eastAsia="宋体" w:cs="宋体"/>
          <w:color w:val="auto"/>
          <w:sz w:val="24"/>
          <w:szCs w:val="24"/>
          <w:highlight w:val="none"/>
        </w:rPr>
        <w:t>村的集体</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东方市大田镇乐妹村鹅舍鱼塘地块20.28亩集体地</w:t>
      </w:r>
      <w:r>
        <w:rPr>
          <w:rFonts w:hint="eastAsia" w:ascii="宋体" w:hAnsi="宋体" w:eastAsia="宋体" w:cs="宋体"/>
          <w:color w:val="auto"/>
          <w:sz w:val="24"/>
          <w:szCs w:val="24"/>
          <w:highlight w:val="none"/>
        </w:rPr>
        <w:t>出租给乙方，总面积</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20.28 </w:t>
      </w:r>
      <w:r>
        <w:rPr>
          <w:rFonts w:hint="eastAsia" w:ascii="宋体" w:hAnsi="宋体" w:eastAsia="宋体" w:cs="宋体"/>
          <w:color w:val="auto"/>
          <w:sz w:val="24"/>
          <w:szCs w:val="24"/>
          <w:highlight w:val="none"/>
        </w:rPr>
        <w:t>亩，四至界限为：东至</w:t>
      </w:r>
      <w:r>
        <w:rPr>
          <w:rFonts w:hint="eastAsia" w:ascii="宋体" w:hAnsi="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Cs w:val="18"/>
          <w:highlight w:val="none"/>
          <w:u w:val="single"/>
          <w:lang w:val="en-US" w:eastAsia="zh-CN"/>
        </w:rPr>
        <w:t>符安德、符德清、符玲荣地块</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、南至</w:t>
      </w:r>
      <w:r>
        <w:rPr>
          <w:rFonts w:hint="eastAsia" w:ascii="宋体" w:hAnsi="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Cs w:val="18"/>
          <w:highlight w:val="none"/>
          <w:u w:val="single"/>
          <w:lang w:val="en-US" w:eastAsia="zh-CN"/>
        </w:rPr>
        <w:t>符德城地块</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、西至</w:t>
      </w:r>
      <w:r>
        <w:rPr>
          <w:rFonts w:hint="eastAsia" w:ascii="宋体" w:hAnsi="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Cs w:val="18"/>
          <w:highlight w:val="none"/>
          <w:u w:val="single"/>
          <w:lang w:val="en-US" w:eastAsia="zh-CN"/>
        </w:rPr>
        <w:t>乐妹村顿坡熟沟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、北至</w:t>
      </w:r>
      <w:r>
        <w:rPr>
          <w:rFonts w:hint="eastAsia" w:ascii="宋体" w:hAnsi="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Cs w:val="18"/>
          <w:highlight w:val="none"/>
          <w:u w:val="single"/>
          <w:lang w:val="en-US" w:eastAsia="zh-CN"/>
        </w:rPr>
        <w:t>乐妹村顿坡熟沟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标的包含</w:t>
      </w:r>
      <w:r>
        <w:rPr>
          <w:rFonts w:hint="eastAsia" w:ascii="宋体" w:hAnsi="宋体" w:eastAsia="宋体" w:cs="宋体"/>
          <w:color w:val="auto"/>
          <w:sz w:val="24"/>
          <w:szCs w:val="24"/>
          <w:highlight w:val="none"/>
          <w:u w:val="single"/>
          <w:lang w:val="en-US" w:eastAsia="zh-CN"/>
        </w:rPr>
        <w:t>3个鱼塘，养殖房1个、铁皮棚1</w:t>
      </w:r>
      <w:bookmarkStart w:id="0" w:name="_GoBack"/>
      <w:bookmarkEnd w:id="0"/>
      <w:r>
        <w:rPr>
          <w:rFonts w:hint="eastAsia" w:ascii="宋体" w:hAnsi="宋体" w:eastAsia="宋体" w:cs="宋体"/>
          <w:color w:val="auto"/>
          <w:sz w:val="24"/>
          <w:szCs w:val="24"/>
          <w:highlight w:val="none"/>
          <w:u w:val="single"/>
          <w:lang w:val="en-US" w:eastAsia="zh-CN"/>
        </w:rPr>
        <w:t>个</w:t>
      </w:r>
      <w:r>
        <w:rPr>
          <w:rFonts w:hint="eastAsia" w:ascii="宋体" w:hAnsi="宋体" w:cs="宋体"/>
          <w:color w:val="auto"/>
          <w:sz w:val="24"/>
          <w:szCs w:val="24"/>
          <w:highlight w:val="none"/>
          <w:lang w:val="en-US" w:eastAsia="zh-CN"/>
        </w:rPr>
        <w:t>。</w:t>
      </w:r>
    </w:p>
    <w:p w14:paraId="5A40B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2.用途 ：乙方承租资产用于</w:t>
      </w:r>
      <w:r>
        <w:rPr>
          <w:rFonts w:hint="eastAsia" w:ascii="宋体" w:hAnsi="宋体" w:cs="宋体"/>
          <w:color w:val="auto"/>
          <w:sz w:val="24"/>
          <w:szCs w:val="24"/>
          <w:highlight w:val="none"/>
          <w:u w:val="single"/>
          <w:lang w:val="en-US" w:eastAsia="zh-CN"/>
        </w:rPr>
        <w:t xml:space="preserve"> 养殖 </w:t>
      </w:r>
      <w:r>
        <w:rPr>
          <w:rFonts w:hint="eastAsia" w:ascii="宋体" w:hAnsi="宋体" w:cs="宋体"/>
          <w:color w:val="auto"/>
          <w:sz w:val="24"/>
          <w:szCs w:val="24"/>
          <w:highlight w:val="none"/>
          <w:lang w:val="en-US" w:eastAsia="zh-CN"/>
        </w:rPr>
        <w:t>，未经行政审批不得从事特种养殖或改变用途。</w:t>
      </w:r>
    </w:p>
    <w:p w14:paraId="0E1C390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第二条  租赁期限与交付</w:t>
      </w:r>
    </w:p>
    <w:p w14:paraId="624BC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1.租赁期限 ：</w:t>
      </w:r>
      <w:r>
        <w:rPr>
          <w:rFonts w:hint="eastAsia" w:ascii="宋体" w:hAnsi="宋体" w:cs="宋体"/>
          <w:color w:val="auto"/>
          <w:sz w:val="24"/>
          <w:szCs w:val="24"/>
          <w:highlight w:val="none"/>
          <w:u w:val="single"/>
          <w:lang w:val="en-US" w:eastAsia="zh-CN"/>
        </w:rPr>
        <w:t xml:space="preserve">  20  </w:t>
      </w:r>
      <w:r>
        <w:rPr>
          <w:rFonts w:hint="eastAsia" w:ascii="宋体" w:hAnsi="宋体" w:cs="宋体"/>
          <w:color w:val="auto"/>
          <w:sz w:val="24"/>
          <w:szCs w:val="24"/>
          <w:highlight w:val="none"/>
          <w:lang w:val="en-US" w:eastAsia="zh-CN"/>
        </w:rPr>
        <w:t>年，自</w:t>
      </w:r>
      <w:r>
        <w:rPr>
          <w:rFonts w:hint="eastAsia" w:ascii="宋体" w:hAnsi="宋体" w:cs="宋体"/>
          <w:color w:val="auto"/>
          <w:sz w:val="24"/>
          <w:szCs w:val="24"/>
          <w:highlight w:val="none"/>
          <w:u w:val="single"/>
          <w:lang w:val="en-US" w:eastAsia="zh-CN"/>
        </w:rPr>
        <w:t xml:space="preserve"> 2026 </w:t>
      </w:r>
      <w:r>
        <w:rPr>
          <w:rFonts w:hint="eastAsia" w:ascii="宋体" w:hAnsi="宋体" w:cs="宋体"/>
          <w:color w:val="auto"/>
          <w:sz w:val="24"/>
          <w:szCs w:val="24"/>
          <w:highlight w:val="none"/>
          <w:lang w:val="en-US" w:eastAsia="zh-CN"/>
        </w:rPr>
        <w:t>年____月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日起至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年___月____日止。  </w:t>
      </w:r>
    </w:p>
    <w:p w14:paraId="26958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2.交付时间 ：甲方应于</w:t>
      </w:r>
      <w:r>
        <w:rPr>
          <w:rFonts w:hint="eastAsia" w:ascii="宋体" w:hAnsi="宋体" w:cs="宋体"/>
          <w:color w:val="auto"/>
          <w:sz w:val="24"/>
          <w:szCs w:val="24"/>
          <w:highlight w:val="none"/>
          <w:u w:val="single"/>
          <w:lang w:val="en-US" w:eastAsia="zh-CN"/>
        </w:rPr>
        <w:t xml:space="preserve"> 2026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日前完成资产交付。</w:t>
      </w:r>
    </w:p>
    <w:p w14:paraId="21A00370">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第三条  租金及支付方式</w:t>
      </w:r>
    </w:p>
    <w:p w14:paraId="60218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1.租金标准 ：人民币__________元/年（大写：__________）。  </w:t>
      </w:r>
    </w:p>
    <w:p w14:paraId="68BAC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 ：按</w:t>
      </w:r>
      <w:r>
        <w:rPr>
          <w:rFonts w:hint="eastAsia" w:ascii="宋体" w:hAnsi="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年一付，每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递增</w:t>
      </w:r>
      <w:r>
        <w:rPr>
          <w:rFonts w:hint="eastAsia" w:ascii="宋体" w:hAnsi="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。首期租金于</w:t>
      </w:r>
      <w:r>
        <w:rPr>
          <w:rFonts w:hint="eastAsia" w:ascii="宋体" w:hAnsi="宋体" w:cs="宋体"/>
          <w:color w:val="auto"/>
          <w:sz w:val="24"/>
          <w:szCs w:val="24"/>
          <w:highlight w:val="none"/>
          <w:u w:val="single"/>
          <w:lang w:val="en-US" w:eastAsia="zh-CN"/>
        </w:rPr>
        <w:t xml:space="preserve"> 2026 </w:t>
      </w:r>
      <w:r>
        <w:rPr>
          <w:rFonts w:hint="eastAsia" w:ascii="宋体" w:hAnsi="宋体" w:eastAsia="宋体" w:cs="宋体"/>
          <w:color w:val="auto"/>
          <w:sz w:val="24"/>
          <w:szCs w:val="24"/>
          <w:highlight w:val="none"/>
        </w:rPr>
        <w:t xml:space="preserve">年____月____日前支付，后续租金应提前30日支付至甲方指定账户：  </w:t>
      </w:r>
    </w:p>
    <w:p w14:paraId="25825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开户名：</w:t>
      </w:r>
      <w:r>
        <w:rPr>
          <w:rFonts w:hint="eastAsia" w:ascii="宋体" w:hAnsi="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1"/>
          <w:szCs w:val="24"/>
          <w:highlight w:val="none"/>
          <w:u w:val="single"/>
          <w:lang w:val="en-US" w:eastAsia="zh-CN" w:bidi="ar-SA"/>
        </w:rPr>
        <w:t>东方市大田镇乐妹村股份经济合作社</w:t>
      </w:r>
      <w:r>
        <w:rPr>
          <w:rFonts w:hint="eastAsia" w:ascii="宋体" w:hAnsi="宋体" w:cs="宋体"/>
          <w:color w:val="auto"/>
          <w:sz w:val="24"/>
          <w:szCs w:val="24"/>
          <w:highlight w:val="none"/>
          <w:u w:val="single"/>
          <w:lang w:val="en-US" w:eastAsia="zh-CN"/>
        </w:rPr>
        <w:t xml:space="preserve"> </w:t>
      </w:r>
    </w:p>
    <w:p w14:paraId="66B6B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开户行：</w:t>
      </w:r>
      <w:r>
        <w:rPr>
          <w:rFonts w:hint="eastAsia" w:ascii="宋体" w:hAnsi="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1"/>
          <w:szCs w:val="24"/>
          <w:highlight w:val="none"/>
          <w:u w:val="single"/>
          <w:lang w:val="en-US" w:eastAsia="zh-CN" w:bidi="ar-SA"/>
        </w:rPr>
        <w:t>海南农商银行东方抱板支行</w:t>
      </w:r>
      <w:r>
        <w:rPr>
          <w:rFonts w:hint="eastAsia" w:ascii="宋体" w:hAnsi="宋体" w:cs="宋体"/>
          <w:color w:val="auto"/>
          <w:sz w:val="24"/>
          <w:szCs w:val="24"/>
          <w:highlight w:val="none"/>
          <w:u w:val="single"/>
          <w:lang w:val="en-US" w:eastAsia="zh-CN"/>
        </w:rPr>
        <w:t xml:space="preserve"> </w:t>
      </w:r>
    </w:p>
    <w:p w14:paraId="00AEF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1"/>
          <w:szCs w:val="24"/>
          <w:highlight w:val="none"/>
          <w:u w:val="single"/>
          <w:lang w:val="en-US" w:eastAsia="zh-CN" w:bidi="ar-SA"/>
        </w:rPr>
        <w:t>1013328600000189</w:t>
      </w:r>
      <w:r>
        <w:rPr>
          <w:rFonts w:hint="eastAsia" w:ascii="宋体" w:hAnsi="宋体" w:cs="宋体"/>
          <w:color w:val="auto"/>
          <w:sz w:val="24"/>
          <w:szCs w:val="24"/>
          <w:highlight w:val="none"/>
          <w:u w:val="single"/>
          <w:lang w:val="en-US" w:eastAsia="zh-CN"/>
        </w:rPr>
        <w:t xml:space="preserve"> </w:t>
      </w:r>
    </w:p>
    <w:p w14:paraId="758222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none"/>
          <w:lang w:val="en-US" w:eastAsia="zh-CN"/>
        </w:rPr>
        <w:t>3.其他：</w:t>
      </w:r>
      <w:r>
        <w:rPr>
          <w:rFonts w:hint="default" w:ascii="宋体" w:hAnsi="宋体" w:cs="宋体"/>
          <w:color w:val="auto"/>
          <w:sz w:val="24"/>
          <w:szCs w:val="24"/>
          <w:highlight w:val="none"/>
          <w:u w:val="single"/>
          <w:lang w:val="en-US" w:eastAsia="zh-CN"/>
        </w:rPr>
        <w:t xml:space="preserve"> 首笔交易租金由乙方转账付款到东方农村产权交易中心，再由东方农村产权交易中心将首笔交易款一次性全额通过银行转账方式划转给甲方，余下未付年租金在合约期内由乙方直接向甲方支付。</w:t>
      </w:r>
    </w:p>
    <w:p w14:paraId="7754A5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双方权利义务</w:t>
      </w:r>
    </w:p>
    <w:p w14:paraId="0EEA35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甲方</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 xml:space="preserve">权利  </w:t>
      </w:r>
    </w:p>
    <w:p w14:paraId="4B214B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要求乙方按合同约定支付租金；</w:t>
      </w:r>
    </w:p>
    <w:p w14:paraId="049567D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监督乙方按合同约定的用途依法合理利用和保护出租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39CDC94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制止乙方损害出租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和农业资源的行为；</w:t>
      </w:r>
    </w:p>
    <w:p w14:paraId="34D5412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租赁期限届满后收回</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70A7A75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p w14:paraId="03B2E8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）甲方的义务</w:t>
      </w:r>
    </w:p>
    <w:p w14:paraId="3FBB10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确保</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权属清晰，无纠纷；</w:t>
      </w:r>
    </w:p>
    <w:p w14:paraId="2A51E8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按照合同约定交付出租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5E623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FF000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不得干涉和妨碍乙方依法进行的生产经营活动；  </w:t>
      </w:r>
    </w:p>
    <w:p w14:paraId="6D4C6F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DA0C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乙方的权利</w:t>
      </w:r>
    </w:p>
    <w:p w14:paraId="2A27E3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1.要求甲方按照合同约定交付出租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3ED484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2.在合同约定的期限内占有</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，自主开展生产经营并取得收益；</w:t>
      </w:r>
    </w:p>
    <w:p w14:paraId="3A0B2B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3.租赁期限届满，有权在同等条件下优先承租；</w:t>
      </w:r>
    </w:p>
    <w:p w14:paraId="0795A1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09E7D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）乙方的义务</w:t>
      </w:r>
    </w:p>
    <w:p w14:paraId="003692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1.按照合同约定及时接受出租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并按照约定向甲方支付租金；</w:t>
      </w:r>
    </w:p>
    <w:p w14:paraId="58CFD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2.在法律法规政策规定和合同约定允许范围内合理利用出租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不得</w:t>
      </w:r>
      <w:r>
        <w:rPr>
          <w:rFonts w:hint="eastAsia" w:ascii="宋体" w:hAnsi="宋体" w:eastAsia="宋体" w:cs="宋体"/>
          <w:color w:val="auto"/>
          <w:sz w:val="24"/>
          <w:szCs w:val="24"/>
          <w:highlight w:val="none"/>
          <w:lang w:val="en-US" w:eastAsia="zh-CN"/>
        </w:rPr>
        <w:t>损害出租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和农业资源的行为；</w:t>
      </w:r>
    </w:p>
    <w:p w14:paraId="4891D3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3.依据有关法律法规保护出租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，禁止</w:t>
      </w:r>
      <w:r>
        <w:rPr>
          <w:rFonts w:hint="eastAsia" w:ascii="宋体" w:hAnsi="宋体" w:cs="宋体"/>
          <w:color w:val="auto"/>
          <w:sz w:val="24"/>
          <w:szCs w:val="24"/>
          <w:highlight w:val="none"/>
          <w:lang w:val="en-US" w:eastAsia="zh-CN"/>
        </w:rPr>
        <w:t>私自</w:t>
      </w:r>
      <w:r>
        <w:rPr>
          <w:rFonts w:hint="eastAsia" w:ascii="宋体" w:hAnsi="宋体" w:eastAsia="宋体" w:cs="宋体"/>
          <w:color w:val="auto"/>
          <w:sz w:val="24"/>
          <w:szCs w:val="24"/>
          <w:highlight w:val="none"/>
          <w:lang w:val="en-US" w:eastAsia="zh-CN"/>
        </w:rPr>
        <w:t>转租、私挖取土</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挖砂、破坏生态，违者承担法律责任； </w:t>
      </w:r>
    </w:p>
    <w:p w14:paraId="4043B8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合同签订后，</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应向</w:t>
      </w:r>
      <w:r>
        <w:rPr>
          <w:rFonts w:hint="eastAsia" w:ascii="宋体" w:hAnsi="宋体" w:cs="宋体"/>
          <w:color w:val="auto"/>
          <w:sz w:val="24"/>
          <w:szCs w:val="24"/>
          <w:highlight w:val="none"/>
          <w:u w:val="single"/>
          <w:lang w:val="en-US" w:eastAsia="zh-CN"/>
        </w:rPr>
        <w:t>甲</w:t>
      </w:r>
      <w:r>
        <w:rPr>
          <w:rFonts w:hint="eastAsia" w:ascii="宋体" w:hAnsi="宋体" w:eastAsia="宋体" w:cs="宋体"/>
          <w:color w:val="auto"/>
          <w:sz w:val="24"/>
          <w:szCs w:val="24"/>
          <w:highlight w:val="none"/>
          <w:u w:val="single"/>
          <w:lang w:val="en-US" w:eastAsia="zh-CN"/>
        </w:rPr>
        <w:t>方一次性支付相当于一年租金（具体以最终成交价为准）的履约保证金，合同履行至最后一年时，该保证金可用于抵扣当年应缴纳</w:t>
      </w:r>
      <w:r>
        <w:rPr>
          <w:rFonts w:hint="eastAsia" w:ascii="宋体" w:hAnsi="宋体" w:cs="宋体"/>
          <w:color w:val="auto"/>
          <w:sz w:val="24"/>
          <w:szCs w:val="24"/>
          <w:highlight w:val="none"/>
          <w:u w:val="single"/>
          <w:lang w:val="en-US" w:eastAsia="zh-CN"/>
        </w:rPr>
        <w:t>资产</w:t>
      </w:r>
      <w:r>
        <w:rPr>
          <w:rFonts w:hint="eastAsia" w:ascii="宋体" w:hAnsi="宋体" w:eastAsia="宋体" w:cs="宋体"/>
          <w:color w:val="auto"/>
          <w:sz w:val="24"/>
          <w:szCs w:val="24"/>
          <w:highlight w:val="none"/>
          <w:u w:val="single"/>
          <w:lang w:val="en-US" w:eastAsia="zh-CN"/>
        </w:rPr>
        <w:t>租金。抵扣后，若保证金高于最后一年租金，</w:t>
      </w:r>
      <w:r>
        <w:rPr>
          <w:rFonts w:hint="eastAsia" w:ascii="宋体" w:hAnsi="宋体" w:cs="宋体"/>
          <w:color w:val="auto"/>
          <w:sz w:val="24"/>
          <w:szCs w:val="24"/>
          <w:highlight w:val="none"/>
          <w:u w:val="single"/>
          <w:lang w:val="en-US" w:eastAsia="zh-CN"/>
        </w:rPr>
        <w:t>甲</w:t>
      </w:r>
      <w:r>
        <w:rPr>
          <w:rFonts w:hint="eastAsia" w:ascii="宋体" w:hAnsi="宋体" w:eastAsia="宋体" w:cs="宋体"/>
          <w:color w:val="auto"/>
          <w:sz w:val="24"/>
          <w:szCs w:val="24"/>
          <w:highlight w:val="none"/>
          <w:u w:val="single"/>
          <w:lang w:val="en-US" w:eastAsia="zh-CN"/>
        </w:rPr>
        <w:t>方应在7日内将差额无息退还给</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；若保证金低于最后一年租金，</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 xml:space="preserve">应在7日内将差额补齐 </w:t>
      </w:r>
      <w:r>
        <w:rPr>
          <w:rFonts w:hint="eastAsia" w:ascii="宋体" w:hAnsi="宋体" w:eastAsia="宋体" w:cs="宋体"/>
          <w:color w:val="auto"/>
          <w:sz w:val="24"/>
          <w:szCs w:val="24"/>
          <w:highlight w:val="none"/>
          <w:lang w:val="en-US" w:eastAsia="zh-CN"/>
        </w:rPr>
        <w:t xml:space="preserve">。      </w:t>
      </w:r>
    </w:p>
    <w:p w14:paraId="5616AA5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其他约定</w:t>
      </w:r>
    </w:p>
    <w:p w14:paraId="0085E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（一）甲方同意乙方依法</w:t>
      </w:r>
    </w:p>
    <w:p w14:paraId="3B7F4D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建设农业生产附属、配套设施</w:t>
      </w:r>
    </w:p>
    <w:p w14:paraId="3B3AC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 xml:space="preserve">经营权融资担保  </w:t>
      </w:r>
    </w:p>
    <w:p w14:paraId="41A3F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再流转</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经营权</w:t>
      </w:r>
    </w:p>
    <w:p w14:paraId="6A4C3E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2737C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（二）该出租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的财政补贴等归属：</w:t>
      </w:r>
      <w:r>
        <w:rPr>
          <w:rFonts w:hint="eastAsia" w:ascii="宋体" w:hAnsi="宋体" w:eastAsia="宋体" w:cs="宋体"/>
          <w:color w:val="4874CB" w:themeColor="accent1"/>
          <w:sz w:val="24"/>
          <w:szCs w:val="24"/>
          <w:highlight w:val="none"/>
          <w:u w:val="single"/>
          <w:lang w:val="en-US" w:eastAsia="zh-CN"/>
          <w14:textFill>
            <w14:solidFill>
              <w14:schemeClr w14:val="accent1"/>
            </w14:solidFill>
          </w14:textFill>
        </w:rPr>
        <w:t xml:space="preserve"> </w:t>
      </w:r>
      <w:r>
        <w:rPr>
          <w:rFonts w:hint="eastAsia" w:ascii="宋体" w:hAnsi="宋体" w:eastAsia="宋体" w:cs="宋体"/>
          <w:color w:val="auto"/>
          <w:sz w:val="24"/>
          <w:szCs w:val="24"/>
          <w:highlight w:val="none"/>
          <w:u w:val="single"/>
          <w:lang w:val="en-US" w:eastAsia="zh-CN"/>
        </w:rPr>
        <w:t xml:space="preserve">归属东方市大田镇乐妹村股份经济合作社 </w:t>
      </w:r>
      <w:r>
        <w:rPr>
          <w:rFonts w:hint="eastAsia" w:ascii="宋体" w:hAnsi="宋体" w:eastAsia="宋体" w:cs="宋体"/>
          <w:color w:val="auto"/>
          <w:sz w:val="24"/>
          <w:szCs w:val="24"/>
          <w:highlight w:val="none"/>
          <w:lang w:val="en-US" w:eastAsia="zh-CN"/>
        </w:rPr>
        <w:t>。</w:t>
      </w:r>
    </w:p>
    <w:p w14:paraId="72BF94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（三）乙方向</w:t>
      </w:r>
      <w:r>
        <w:rPr>
          <w:rFonts w:hint="eastAsia" w:ascii="宋体" w:hAnsi="宋体" w:eastAsia="宋体" w:cs="宋体"/>
          <w:color w:val="auto"/>
          <w:sz w:val="24"/>
          <w:szCs w:val="24"/>
          <w:highlight w:val="none"/>
          <w:u w:val="single"/>
          <w:lang w:val="en-US" w:eastAsia="zh-CN"/>
        </w:rPr>
        <w:t xml:space="preserve"> 东方市大田镇乐妹村股份经济合作社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缴纳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不缴纳  </w:t>
      </w:r>
      <w:r>
        <w:rPr>
          <w:rFonts w:hint="eastAsia" w:ascii="宋体" w:hAnsi="宋体" w:cs="宋体"/>
          <w:color w:val="auto"/>
          <w:sz w:val="24"/>
          <w:szCs w:val="24"/>
          <w:highlight w:val="none"/>
          <w:lang w:val="en-US" w:eastAsia="zh-CN"/>
        </w:rPr>
        <w:t>风险</w:t>
      </w:r>
      <w:r>
        <w:rPr>
          <w:rFonts w:hint="eastAsia" w:ascii="宋体" w:hAnsi="宋体" w:eastAsia="宋体" w:cs="宋体"/>
          <w:color w:val="auto"/>
          <w:sz w:val="24"/>
          <w:szCs w:val="24"/>
          <w:highlight w:val="none"/>
          <w:lang w:val="en-US" w:eastAsia="zh-CN"/>
        </w:rPr>
        <w:t>保</w:t>
      </w:r>
      <w:r>
        <w:rPr>
          <w:rFonts w:hint="eastAsia" w:ascii="宋体" w:hAnsi="宋体" w:cs="宋体"/>
          <w:color w:val="auto"/>
          <w:sz w:val="24"/>
          <w:szCs w:val="24"/>
          <w:highlight w:val="none"/>
          <w:lang w:val="en-US" w:eastAsia="zh-CN"/>
        </w:rPr>
        <w:t>障</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元（大  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），合同到期后的处理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6CBFDF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（四）本合同期限内， 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被依法征收、征用、占用时，有关地上附着物补偿费的归属：</w:t>
      </w:r>
      <w:r>
        <w:rPr>
          <w:rFonts w:hint="eastAsia" w:ascii="宋体" w:hAnsi="宋体" w:eastAsia="宋体" w:cs="宋体"/>
          <w:color w:val="auto"/>
          <w:sz w:val="24"/>
          <w:szCs w:val="24"/>
          <w:highlight w:val="none"/>
          <w:u w:val="single"/>
          <w:lang w:val="en-US" w:eastAsia="zh-CN"/>
        </w:rPr>
        <w:t xml:space="preserve"> 甲方所有的附属、配套设施补偿费归甲方；乙方建设的农业生产附属、配套设施补偿费归乙方 </w:t>
      </w:r>
      <w:r>
        <w:rPr>
          <w:rFonts w:hint="eastAsia" w:ascii="宋体" w:hAnsi="宋体" w:eastAsia="宋体" w:cs="宋体"/>
          <w:b/>
          <w:bCs/>
          <w:color w:val="auto"/>
          <w:sz w:val="24"/>
          <w:szCs w:val="24"/>
          <w:highlight w:val="none"/>
          <w:lang w:val="en-US" w:eastAsia="zh-CN"/>
        </w:rPr>
        <w:t>。</w:t>
      </w:r>
    </w:p>
    <w:p w14:paraId="30470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（五）其他事项：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w:t>
      </w:r>
    </w:p>
    <w:p w14:paraId="16BCA7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条 不可抗力与合同解除</w:t>
      </w:r>
    </w:p>
    <w:p w14:paraId="041E9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（一）合同有效期间，因不可抗力因素致使合同全部不能履行时， 本合同自动终止，甲方将合同终止日至租赁到期日的期限内已收取的租金退还给乙方；致使合同部分不能履行的，其他部分继续履行，租金可以作相应调整。</w:t>
      </w:r>
    </w:p>
    <w:p w14:paraId="1DA68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（二）如乙方在合同期满后需要继续经营该出租</w:t>
      </w:r>
      <w:r>
        <w:rPr>
          <w:rFonts w:hint="eastAsia" w:ascii="宋体" w:hAnsi="宋体" w:cs="宋体"/>
          <w:color w:val="auto"/>
          <w:sz w:val="24"/>
          <w:szCs w:val="24"/>
          <w:highlight w:val="none"/>
          <w:lang w:val="en-US" w:eastAsia="zh-CN"/>
        </w:rPr>
        <w:t>资产</w:t>
      </w:r>
      <w:r>
        <w:rPr>
          <w:rFonts w:hint="eastAsia" w:ascii="宋体" w:hAnsi="宋体" w:cs="宋体"/>
          <w:color w:val="auto"/>
          <w:sz w:val="24"/>
          <w:szCs w:val="24"/>
          <w:highlight w:val="none"/>
          <w:u w:val="none"/>
          <w:lang w:val="en-US" w:eastAsia="zh-CN"/>
        </w:rPr>
        <w:t>，必须在合同期满前     日内书面向甲方提出申请。如乙方不再继续经营的，必须在合同期满前</w:t>
      </w:r>
      <w:r>
        <w:rPr>
          <w:rFonts w:hint="eastAsia" w:ascii="宋体" w:hAnsi="宋体" w:cs="宋体"/>
          <w:color w:val="auto"/>
          <w:sz w:val="24"/>
          <w:szCs w:val="24"/>
          <w:highlight w:val="none"/>
          <w:u w:val="single"/>
          <w:lang w:val="en-US" w:eastAsia="zh-CN"/>
        </w:rPr>
        <w:t xml:space="preserve"> 30 </w:t>
      </w:r>
      <w:r>
        <w:rPr>
          <w:rFonts w:hint="eastAsia" w:ascii="宋体" w:hAnsi="宋体" w:cs="宋体"/>
          <w:color w:val="auto"/>
          <w:sz w:val="24"/>
          <w:szCs w:val="24"/>
          <w:highlight w:val="none"/>
          <w:u w:val="none"/>
          <w:lang w:val="en-US" w:eastAsia="zh-CN"/>
        </w:rPr>
        <w:t>日内书面通知甲方，并在合同期满后</w:t>
      </w:r>
      <w:r>
        <w:rPr>
          <w:rFonts w:hint="eastAsia" w:ascii="宋体" w:hAnsi="宋体" w:cs="宋体"/>
          <w:color w:val="auto"/>
          <w:sz w:val="24"/>
          <w:szCs w:val="24"/>
          <w:highlight w:val="none"/>
          <w:u w:val="single"/>
          <w:lang w:val="en-US" w:eastAsia="zh-CN"/>
        </w:rPr>
        <w:t xml:space="preserve"> 15 </w:t>
      </w:r>
      <w:r>
        <w:rPr>
          <w:rFonts w:hint="eastAsia" w:ascii="宋体" w:hAnsi="宋体" w:cs="宋体"/>
          <w:color w:val="auto"/>
          <w:sz w:val="24"/>
          <w:szCs w:val="24"/>
          <w:highlight w:val="none"/>
          <w:u w:val="none"/>
          <w:lang w:val="en-US" w:eastAsia="zh-CN"/>
        </w:rPr>
        <w:t>日内将原出租的</w:t>
      </w:r>
      <w:r>
        <w:rPr>
          <w:rFonts w:hint="eastAsia" w:ascii="宋体" w:hAnsi="宋体" w:cs="宋体"/>
          <w:color w:val="auto"/>
          <w:sz w:val="24"/>
          <w:szCs w:val="24"/>
          <w:highlight w:val="none"/>
          <w:lang w:val="en-US" w:eastAsia="zh-CN"/>
        </w:rPr>
        <w:t>资产</w:t>
      </w:r>
      <w:r>
        <w:rPr>
          <w:rFonts w:hint="eastAsia" w:ascii="宋体" w:hAnsi="宋体" w:cs="宋体"/>
          <w:color w:val="auto"/>
          <w:sz w:val="24"/>
          <w:szCs w:val="24"/>
          <w:highlight w:val="none"/>
          <w:u w:val="none"/>
          <w:lang w:val="en-US" w:eastAsia="zh-CN"/>
        </w:rPr>
        <w:t>交还给甲方。</w:t>
      </w:r>
    </w:p>
    <w:p w14:paraId="415A2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（三）合同到期或者未到期由甲方依法提前收回出租</w:t>
      </w:r>
      <w:r>
        <w:rPr>
          <w:rFonts w:hint="eastAsia" w:ascii="宋体" w:hAnsi="宋体" w:cs="宋体"/>
          <w:color w:val="auto"/>
          <w:sz w:val="24"/>
          <w:szCs w:val="24"/>
          <w:highlight w:val="none"/>
          <w:lang w:val="en-US" w:eastAsia="zh-CN"/>
        </w:rPr>
        <w:t>资产</w:t>
      </w:r>
      <w:r>
        <w:rPr>
          <w:rFonts w:hint="eastAsia" w:ascii="宋体" w:hAnsi="宋体" w:cs="宋体"/>
          <w:color w:val="auto"/>
          <w:sz w:val="24"/>
          <w:szCs w:val="24"/>
          <w:highlight w:val="none"/>
          <w:u w:val="none"/>
          <w:lang w:val="en-US" w:eastAsia="zh-CN"/>
        </w:rPr>
        <w:t>时， 乙方依法投资建设的农业生产附属、配套设施处置方式：</w:t>
      </w:r>
    </w:p>
    <w:p w14:paraId="2B16DB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□由甲方无偿处置。</w:t>
      </w:r>
    </w:p>
    <w:p w14:paraId="15CFB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□经有资质的第三方评估后，由甲方支付价款购买。</w:t>
      </w:r>
    </w:p>
    <w:p w14:paraId="26840D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□经双方协商后，由甲方支付价款购买。</w:t>
      </w:r>
    </w:p>
    <w:p w14:paraId="17C7F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☑由乙方恢复原状。</w:t>
      </w:r>
    </w:p>
    <w:p w14:paraId="6CD68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□其他:</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7BE46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  违约责任</w:t>
      </w:r>
    </w:p>
    <w:p w14:paraId="5FC2D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（一）任何一方违约给对方造成损失的，违约方应承担赔偿责任。</w:t>
      </w:r>
    </w:p>
    <w:p w14:paraId="6D0AE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（二）甲方应按合同规定按时向乙方交付</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 逾期一日应向乙方支付年租金的万分之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）作为违约金。逾期超过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乙方有权解除合同，甲方应当赔偿损失。</w:t>
      </w:r>
    </w:p>
    <w:p w14:paraId="5D8F7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（三）甲方出租的</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存在权属纠纷或经济纠纷，致使合同全部或部分不能履行的，甲方应当赔偿损失。</w:t>
      </w:r>
    </w:p>
    <w:p w14:paraId="7BC6D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（四）甲方违反合同约定擅自干涉和破坏乙方的生产经营,致使乙方无法进行正常的生产经营活动的，乙方有权解除合同，甲方应当赔偿损失。</w:t>
      </w:r>
    </w:p>
    <w:p w14:paraId="110AD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（五）乙方应按照合同规定按时足额向甲方支付租金，逾期一日乙方应向甲方支付年租金的万分之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 逾期超过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日，甲方有权解除合同，乙方应当赔偿损失。</w:t>
      </w:r>
    </w:p>
    <w:p w14:paraId="78745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（六）乙方如私自在承包区域内取土或未经甲方及相关审批部门同意，私自改变标的用途和结构、破坏水利等基本设施或给</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造成永久性损害的，甲方有权解除合同，收回</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乙方应当赔偿对甲方造成的损失，并承担相关法律责任。</w:t>
      </w:r>
    </w:p>
    <w:p w14:paraId="32852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（七）合同期限届满的， 乙方应当按照合同约定将原出租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交还给甲方，逾期一日应向甲方支付年租金的万分之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作为违约金。</w:t>
      </w:r>
    </w:p>
    <w:p w14:paraId="255D17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  争议解决</w:t>
      </w:r>
    </w:p>
    <w:p w14:paraId="6E917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本合同履行中发生争议，双方应协商解决；协商不成的，可向</w:t>
      </w:r>
      <w:r>
        <w:rPr>
          <w:rFonts w:hint="eastAsia" w:ascii="宋体" w:hAnsi="宋体" w:cs="宋体"/>
          <w:color w:val="auto"/>
          <w:sz w:val="24"/>
          <w:szCs w:val="24"/>
          <w:highlight w:val="none"/>
          <w:u w:val="single"/>
          <w:lang w:val="en-US" w:eastAsia="zh-CN"/>
        </w:rPr>
        <w:t xml:space="preserve"> 海南 </w:t>
      </w:r>
      <w:r>
        <w:rPr>
          <w:rFonts w:hint="eastAsia" w:ascii="宋体" w:hAnsi="宋体" w:eastAsia="宋体" w:cs="宋体"/>
          <w:color w:val="auto"/>
          <w:sz w:val="24"/>
          <w:szCs w:val="24"/>
          <w:highlight w:val="none"/>
          <w:lang w:eastAsia="zh-CN"/>
        </w:rPr>
        <w:t>仲裁委员会申请仲裁，或向甲方所在地人民法院起诉。</w:t>
      </w:r>
    </w:p>
    <w:p w14:paraId="0D6E25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  其他条款</w:t>
      </w:r>
    </w:p>
    <w:p w14:paraId="6ADD9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一）本合同未尽事宜，经甲方、乙方协商一致后可签订补充协议。补充协议与本合同具有同等法律效力。</w:t>
      </w:r>
    </w:p>
    <w:p w14:paraId="30A56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补充条款（可另附件）：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394365D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本合同自甲乙双方签字、盖章或者按指印之日起生效。本合同一式</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4 </w:t>
      </w:r>
      <w:r>
        <w:rPr>
          <w:rFonts w:hint="eastAsia" w:ascii="宋体" w:hAnsi="宋体" w:eastAsia="宋体" w:cs="宋体"/>
          <w:color w:val="auto"/>
          <w:sz w:val="24"/>
          <w:szCs w:val="24"/>
          <w:highlight w:val="none"/>
          <w:lang w:eastAsia="zh-CN"/>
        </w:rPr>
        <w:t>份，由甲方、乙方、农村集体经济组织、乡（镇）人民政府</w:t>
      </w:r>
      <w:r>
        <w:rPr>
          <w:rFonts w:hint="eastAsia" w:ascii="宋体" w:hAnsi="宋体" w:cs="宋体"/>
          <w:color w:val="auto"/>
          <w:sz w:val="24"/>
          <w:szCs w:val="24"/>
          <w:highlight w:val="none"/>
          <w:lang w:val="en-US" w:eastAsia="zh-CN"/>
        </w:rPr>
        <w:t>农业</w:t>
      </w:r>
      <w:r>
        <w:rPr>
          <w:rFonts w:hint="eastAsia" w:ascii="宋体" w:hAnsi="宋体" w:eastAsia="宋体" w:cs="宋体"/>
          <w:color w:val="auto"/>
          <w:sz w:val="24"/>
          <w:szCs w:val="24"/>
          <w:highlight w:val="none"/>
          <w:lang w:eastAsia="zh-CN"/>
        </w:rPr>
        <w:t>管理部门、</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，各执一份。</w:t>
      </w:r>
    </w:p>
    <w:p w14:paraId="0BE087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3FA105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44995B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hAnsiTheme="minorHAnsi" w:eastAsiaTheme="minorEastAsia" w:cstheme="minorBidi"/>
          <w:sz w:val="21"/>
        </w:rPr>
      </w:pPr>
    </w:p>
    <w:p w14:paraId="335641AE">
      <w:pPr>
        <w:spacing w:line="312" w:lineRule="auto"/>
        <w:rPr>
          <w:rFonts w:ascii="Arial" w:hAnsiTheme="minorHAnsi" w:eastAsiaTheme="minorEastAsia" w:cstheme="minorBidi"/>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hAnsiTheme="minorHAnsi" w:eastAsiaTheme="minorEastAsia" w:cstheme="minorBidi"/>
          <w:sz w:val="21"/>
        </w:rPr>
      </w:pPr>
    </w:p>
    <w:p w14:paraId="6E09B94E">
      <w:pPr>
        <w:spacing w:line="272" w:lineRule="auto"/>
        <w:rPr>
          <w:rFonts w:ascii="Arial" w:hAnsiTheme="minorHAnsi" w:eastAsiaTheme="minorEastAsia" w:cstheme="minorBidi"/>
          <w:sz w:val="21"/>
        </w:rPr>
      </w:pPr>
    </w:p>
    <w:p w14:paraId="2B0D2060">
      <w:pPr>
        <w:spacing w:line="272" w:lineRule="auto"/>
        <w:rPr>
          <w:rFonts w:ascii="Arial" w:hAnsiTheme="minorHAnsi" w:eastAsiaTheme="minorEastAsia" w:cstheme="minorBidi"/>
          <w:sz w:val="21"/>
        </w:rPr>
      </w:pPr>
    </w:p>
    <w:p w14:paraId="66CCF041">
      <w:pPr>
        <w:spacing w:line="272" w:lineRule="auto"/>
        <w:rPr>
          <w:rFonts w:ascii="Arial" w:hAnsiTheme="minorHAnsi" w:eastAsiaTheme="minorEastAsia" w:cstheme="minorBidi"/>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4988BC0C">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354AFC05">
      <w:pPr>
        <w:spacing w:before="173" w:line="225" w:lineRule="auto"/>
        <w:ind w:left="30"/>
        <w:rPr>
          <w:rFonts w:ascii="仿宋" w:hAnsi="仿宋" w:eastAsia="仿宋" w:cs="仿宋"/>
          <w:sz w:val="27"/>
          <w:szCs w:val="27"/>
          <w:u w:val="single" w:color="auto"/>
        </w:rPr>
      </w:pPr>
    </w:p>
    <w:p w14:paraId="697EE092">
      <w:pPr>
        <w:spacing w:before="173" w:line="225" w:lineRule="auto"/>
        <w:ind w:left="30"/>
        <w:rPr>
          <w:rFonts w:ascii="仿宋" w:hAnsi="仿宋" w:eastAsia="仿宋" w:cs="仿宋"/>
          <w:sz w:val="27"/>
          <w:szCs w:val="27"/>
          <w:u w:val="single" w:color="auto"/>
        </w:rPr>
      </w:pPr>
    </w:p>
    <w:p w14:paraId="14D92E37">
      <w:pPr>
        <w:spacing w:before="173" w:line="225" w:lineRule="auto"/>
        <w:ind w:left="30"/>
        <w:rPr>
          <w:rFonts w:ascii="仿宋" w:hAnsi="仿宋" w:eastAsia="仿宋" w:cs="仿宋"/>
          <w:sz w:val="27"/>
          <w:szCs w:val="27"/>
          <w:u w:val="single" w:color="auto"/>
        </w:rPr>
      </w:pPr>
    </w:p>
    <w:p w14:paraId="2AC352F1">
      <w:pPr>
        <w:spacing w:before="173" w:line="225" w:lineRule="auto"/>
        <w:ind w:left="30"/>
        <w:rPr>
          <w:rFonts w:ascii="仿宋" w:hAnsi="仿宋" w:eastAsia="仿宋" w:cs="仿宋"/>
          <w:sz w:val="27"/>
          <w:szCs w:val="27"/>
          <w:u w:val="single" w:color="auto"/>
        </w:rPr>
      </w:pPr>
    </w:p>
    <w:p w14:paraId="12BE311C">
      <w:pPr>
        <w:spacing w:before="173" w:line="225" w:lineRule="auto"/>
        <w:ind w:left="30"/>
        <w:rPr>
          <w:rFonts w:ascii="仿宋" w:hAnsi="仿宋" w:eastAsia="仿宋" w:cs="仿宋"/>
          <w:sz w:val="27"/>
          <w:szCs w:val="27"/>
          <w:u w:val="single" w:color="auto"/>
        </w:rPr>
      </w:pPr>
    </w:p>
    <w:p w14:paraId="68101B8E">
      <w:pPr>
        <w:spacing w:line="360" w:lineRule="auto"/>
        <w:jc w:val="both"/>
        <w:rPr>
          <w:rFonts w:ascii="仿宋" w:hAnsi="仿宋" w:eastAsia="仿宋" w:cs="仿宋"/>
          <w:sz w:val="30"/>
          <w:szCs w:val="30"/>
          <w:lang w:eastAsia="zh-CN"/>
        </w:rPr>
        <w:sectPr>
          <w:footerReference r:id="rId3" w:type="default"/>
          <w:pgSz w:w="11905" w:h="16840"/>
          <w:pgMar w:top="1431" w:right="1437" w:bottom="1189" w:left="1785" w:header="0" w:footer="939" w:gutter="0"/>
          <w:cols w:space="720" w:num="1"/>
        </w:sectPr>
      </w:pPr>
      <w:r>
        <w:rPr>
          <w:rFonts w:hint="eastAsia" w:ascii="仿宋" w:hAnsi="仿宋" w:eastAsia="仿宋" w:cs="仿宋"/>
          <w:spacing w:val="6"/>
          <w:sz w:val="30"/>
          <w:szCs w:val="30"/>
          <w:lang w:val="en-US" w:eastAsia="zh-CN"/>
        </w:rPr>
        <w:t>大田</w:t>
      </w:r>
      <w:r>
        <w:rPr>
          <w:rFonts w:hint="eastAsia" w:ascii="仿宋" w:hAnsi="仿宋" w:eastAsia="仿宋" w:cs="仿宋"/>
          <w:sz w:val="30"/>
          <w:szCs w:val="30"/>
          <w:lang w:eastAsia="zh-CN"/>
        </w:rPr>
        <w:t>镇人民政府备案（盖章）：</w:t>
      </w:r>
    </w:p>
    <w:p w14:paraId="5D58F2E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10"/>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11"/>
              <w:jc w:val="center"/>
              <w:rPr>
                <w:rFonts w:hint="eastAsia" w:eastAsia="宋体"/>
                <w:lang w:val="en-US" w:eastAsia="zh-CN"/>
              </w:rPr>
            </w:pPr>
            <w:r>
              <w:rPr>
                <w:rFonts w:hint="eastAsia" w:eastAsia="宋体"/>
                <w:lang w:val="en-US" w:eastAsia="zh-CN"/>
              </w:rPr>
              <w:t>是</w:t>
            </w:r>
          </w:p>
        </w:tc>
        <w:tc>
          <w:tcPr>
            <w:tcW w:w="1133" w:type="dxa"/>
            <w:vAlign w:val="top"/>
          </w:tcPr>
          <w:p w14:paraId="3A19B3AD">
            <w:pPr>
              <w:pStyle w:val="11"/>
            </w:pPr>
          </w:p>
        </w:tc>
        <w:tc>
          <w:tcPr>
            <w:tcW w:w="1138" w:type="dxa"/>
            <w:vAlign w:val="top"/>
          </w:tcPr>
          <w:p w14:paraId="293FD380">
            <w:pPr>
              <w:pStyle w:val="11"/>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w:t>
            </w:r>
            <w:r>
              <w:rPr>
                <w:rFonts w:hint="eastAsia" w:ascii="仿宋" w:hAnsi="仿宋" w:eastAsia="仿宋" w:cs="仿宋"/>
                <w:spacing w:val="4"/>
                <w:sz w:val="27"/>
                <w:szCs w:val="27"/>
                <w:lang w:val="en-US" w:eastAsia="zh-CN"/>
              </w:rPr>
              <w:t>资产</w:t>
            </w:r>
            <w:r>
              <w:rPr>
                <w:rFonts w:ascii="仿宋" w:hAnsi="仿宋" w:eastAsia="仿宋" w:cs="仿宋"/>
                <w:spacing w:val="4"/>
                <w:sz w:val="27"/>
                <w:szCs w:val="27"/>
              </w:rPr>
              <w:t>的权属证明</w:t>
            </w:r>
          </w:p>
        </w:tc>
        <w:tc>
          <w:tcPr>
            <w:tcW w:w="1558" w:type="dxa"/>
            <w:vAlign w:val="top"/>
          </w:tcPr>
          <w:p w14:paraId="50C7631D">
            <w:pPr>
              <w:pStyle w:val="11"/>
              <w:jc w:val="center"/>
            </w:pPr>
            <w:r>
              <w:rPr>
                <w:rFonts w:hint="eastAsia" w:eastAsia="宋体"/>
                <w:lang w:val="en-US" w:eastAsia="zh-CN"/>
              </w:rPr>
              <w:t>是</w:t>
            </w:r>
          </w:p>
        </w:tc>
        <w:tc>
          <w:tcPr>
            <w:tcW w:w="1133" w:type="dxa"/>
            <w:vAlign w:val="top"/>
          </w:tcPr>
          <w:p w14:paraId="722D1178">
            <w:pPr>
              <w:pStyle w:val="11"/>
            </w:pPr>
          </w:p>
        </w:tc>
        <w:tc>
          <w:tcPr>
            <w:tcW w:w="1138" w:type="dxa"/>
            <w:vAlign w:val="top"/>
          </w:tcPr>
          <w:p w14:paraId="7CED7353">
            <w:pPr>
              <w:pStyle w:val="11"/>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w:t>
            </w:r>
            <w:r>
              <w:rPr>
                <w:rFonts w:hint="eastAsia" w:ascii="仿宋" w:hAnsi="仿宋" w:eastAsia="仿宋" w:cs="仿宋"/>
                <w:spacing w:val="4"/>
                <w:sz w:val="27"/>
                <w:szCs w:val="27"/>
                <w:lang w:val="en-US" w:eastAsia="zh-CN"/>
              </w:rPr>
              <w:t>资产</w:t>
            </w:r>
            <w:r>
              <w:rPr>
                <w:rFonts w:ascii="仿宋" w:hAnsi="仿宋" w:eastAsia="仿宋" w:cs="仿宋"/>
                <w:spacing w:val="5"/>
                <w:sz w:val="27"/>
                <w:szCs w:val="27"/>
              </w:rPr>
              <w:t>四至范围附图</w:t>
            </w:r>
          </w:p>
        </w:tc>
        <w:tc>
          <w:tcPr>
            <w:tcW w:w="1558" w:type="dxa"/>
            <w:vAlign w:val="top"/>
          </w:tcPr>
          <w:p w14:paraId="27CA774A">
            <w:pPr>
              <w:pStyle w:val="11"/>
              <w:jc w:val="center"/>
            </w:pPr>
            <w:r>
              <w:rPr>
                <w:rFonts w:hint="eastAsia" w:eastAsia="宋体"/>
                <w:lang w:val="en-US" w:eastAsia="zh-CN"/>
              </w:rPr>
              <w:t>是</w:t>
            </w:r>
          </w:p>
        </w:tc>
        <w:tc>
          <w:tcPr>
            <w:tcW w:w="1133" w:type="dxa"/>
            <w:vAlign w:val="top"/>
          </w:tcPr>
          <w:p w14:paraId="6FBD1D5F">
            <w:pPr>
              <w:pStyle w:val="11"/>
            </w:pPr>
          </w:p>
        </w:tc>
        <w:tc>
          <w:tcPr>
            <w:tcW w:w="1138" w:type="dxa"/>
            <w:vAlign w:val="top"/>
          </w:tcPr>
          <w:p w14:paraId="06FA0FF6">
            <w:pPr>
              <w:pStyle w:val="11"/>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11"/>
              <w:spacing w:line="300" w:lineRule="auto"/>
            </w:pPr>
          </w:p>
          <w:p w14:paraId="7E422B38">
            <w:pPr>
              <w:pStyle w:val="11"/>
              <w:spacing w:line="300" w:lineRule="auto"/>
            </w:pPr>
          </w:p>
          <w:p w14:paraId="079E67C5">
            <w:pPr>
              <w:pStyle w:val="11"/>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11"/>
              <w:jc w:val="center"/>
            </w:pPr>
            <w:r>
              <w:rPr>
                <w:rFonts w:hint="eastAsia" w:eastAsia="宋体"/>
                <w:lang w:val="en-US" w:eastAsia="zh-CN"/>
              </w:rPr>
              <w:t>是</w:t>
            </w:r>
          </w:p>
        </w:tc>
        <w:tc>
          <w:tcPr>
            <w:tcW w:w="1133" w:type="dxa"/>
            <w:vAlign w:val="top"/>
          </w:tcPr>
          <w:p w14:paraId="5E543BF1">
            <w:pPr>
              <w:pStyle w:val="11"/>
            </w:pPr>
          </w:p>
        </w:tc>
        <w:tc>
          <w:tcPr>
            <w:tcW w:w="1138" w:type="dxa"/>
            <w:vAlign w:val="top"/>
          </w:tcPr>
          <w:p w14:paraId="2E4E552A">
            <w:pPr>
              <w:pStyle w:val="11"/>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11"/>
            </w:pPr>
          </w:p>
        </w:tc>
        <w:tc>
          <w:tcPr>
            <w:tcW w:w="3541" w:type="dxa"/>
            <w:vAlign w:val="top"/>
          </w:tcPr>
          <w:p w14:paraId="129CB217">
            <w:pPr>
              <w:pStyle w:val="11"/>
            </w:pPr>
          </w:p>
        </w:tc>
        <w:tc>
          <w:tcPr>
            <w:tcW w:w="1558" w:type="dxa"/>
            <w:vAlign w:val="top"/>
          </w:tcPr>
          <w:p w14:paraId="7C547DDD">
            <w:pPr>
              <w:pStyle w:val="11"/>
            </w:pPr>
          </w:p>
        </w:tc>
        <w:tc>
          <w:tcPr>
            <w:tcW w:w="1133" w:type="dxa"/>
            <w:vAlign w:val="top"/>
          </w:tcPr>
          <w:p w14:paraId="7D988089">
            <w:pPr>
              <w:pStyle w:val="11"/>
            </w:pPr>
          </w:p>
        </w:tc>
        <w:tc>
          <w:tcPr>
            <w:tcW w:w="1138" w:type="dxa"/>
            <w:vAlign w:val="top"/>
          </w:tcPr>
          <w:p w14:paraId="658F2A7E">
            <w:pPr>
              <w:pStyle w:val="11"/>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11"/>
            </w:pPr>
          </w:p>
        </w:tc>
        <w:tc>
          <w:tcPr>
            <w:tcW w:w="3541" w:type="dxa"/>
            <w:vAlign w:val="top"/>
          </w:tcPr>
          <w:p w14:paraId="75CBB97E">
            <w:pPr>
              <w:pStyle w:val="11"/>
            </w:pPr>
          </w:p>
        </w:tc>
        <w:tc>
          <w:tcPr>
            <w:tcW w:w="1558" w:type="dxa"/>
            <w:vAlign w:val="top"/>
          </w:tcPr>
          <w:p w14:paraId="35E176E8">
            <w:pPr>
              <w:pStyle w:val="11"/>
            </w:pPr>
          </w:p>
        </w:tc>
        <w:tc>
          <w:tcPr>
            <w:tcW w:w="1133" w:type="dxa"/>
            <w:vAlign w:val="top"/>
          </w:tcPr>
          <w:p w14:paraId="3DD8B52F">
            <w:pPr>
              <w:pStyle w:val="11"/>
            </w:pPr>
          </w:p>
        </w:tc>
        <w:tc>
          <w:tcPr>
            <w:tcW w:w="1138" w:type="dxa"/>
            <w:vAlign w:val="top"/>
          </w:tcPr>
          <w:p w14:paraId="02C0DFDA">
            <w:pPr>
              <w:pStyle w:val="11"/>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11"/>
            </w:pPr>
          </w:p>
        </w:tc>
        <w:tc>
          <w:tcPr>
            <w:tcW w:w="3541" w:type="dxa"/>
            <w:vAlign w:val="top"/>
          </w:tcPr>
          <w:p w14:paraId="7C096660">
            <w:pPr>
              <w:pStyle w:val="11"/>
            </w:pPr>
          </w:p>
        </w:tc>
        <w:tc>
          <w:tcPr>
            <w:tcW w:w="1558" w:type="dxa"/>
            <w:vAlign w:val="top"/>
          </w:tcPr>
          <w:p w14:paraId="521D4D63">
            <w:pPr>
              <w:pStyle w:val="11"/>
            </w:pPr>
          </w:p>
        </w:tc>
        <w:tc>
          <w:tcPr>
            <w:tcW w:w="1133" w:type="dxa"/>
            <w:vAlign w:val="top"/>
          </w:tcPr>
          <w:p w14:paraId="641B489F">
            <w:pPr>
              <w:pStyle w:val="11"/>
            </w:pPr>
          </w:p>
        </w:tc>
        <w:tc>
          <w:tcPr>
            <w:tcW w:w="1138" w:type="dxa"/>
            <w:vAlign w:val="top"/>
          </w:tcPr>
          <w:p w14:paraId="78899E1D">
            <w:pPr>
              <w:pStyle w:val="11"/>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11"/>
            </w:pPr>
          </w:p>
        </w:tc>
        <w:tc>
          <w:tcPr>
            <w:tcW w:w="3541" w:type="dxa"/>
            <w:vAlign w:val="top"/>
          </w:tcPr>
          <w:p w14:paraId="1AC8EC23">
            <w:pPr>
              <w:pStyle w:val="11"/>
            </w:pPr>
          </w:p>
        </w:tc>
        <w:tc>
          <w:tcPr>
            <w:tcW w:w="1558" w:type="dxa"/>
            <w:vAlign w:val="top"/>
          </w:tcPr>
          <w:p w14:paraId="4224676B">
            <w:pPr>
              <w:pStyle w:val="11"/>
            </w:pPr>
          </w:p>
        </w:tc>
        <w:tc>
          <w:tcPr>
            <w:tcW w:w="1133" w:type="dxa"/>
            <w:vAlign w:val="top"/>
          </w:tcPr>
          <w:p w14:paraId="25C850D1">
            <w:pPr>
              <w:pStyle w:val="11"/>
            </w:pPr>
          </w:p>
        </w:tc>
        <w:tc>
          <w:tcPr>
            <w:tcW w:w="1138" w:type="dxa"/>
            <w:vAlign w:val="top"/>
          </w:tcPr>
          <w:p w14:paraId="2231892A">
            <w:pPr>
              <w:pStyle w:val="11"/>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11"/>
            </w:pPr>
          </w:p>
        </w:tc>
        <w:tc>
          <w:tcPr>
            <w:tcW w:w="3541" w:type="dxa"/>
            <w:vAlign w:val="top"/>
          </w:tcPr>
          <w:p w14:paraId="729BFE03">
            <w:pPr>
              <w:pStyle w:val="11"/>
            </w:pPr>
          </w:p>
        </w:tc>
        <w:tc>
          <w:tcPr>
            <w:tcW w:w="1558" w:type="dxa"/>
            <w:vAlign w:val="top"/>
          </w:tcPr>
          <w:p w14:paraId="5D98DC6C">
            <w:pPr>
              <w:pStyle w:val="11"/>
            </w:pPr>
          </w:p>
        </w:tc>
        <w:tc>
          <w:tcPr>
            <w:tcW w:w="1133" w:type="dxa"/>
            <w:vAlign w:val="top"/>
          </w:tcPr>
          <w:p w14:paraId="51456A1C">
            <w:pPr>
              <w:pStyle w:val="11"/>
            </w:pPr>
          </w:p>
        </w:tc>
        <w:tc>
          <w:tcPr>
            <w:tcW w:w="1138" w:type="dxa"/>
            <w:vAlign w:val="top"/>
          </w:tcPr>
          <w:p w14:paraId="51A4CF8B">
            <w:pPr>
              <w:pStyle w:val="11"/>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11"/>
            </w:pPr>
          </w:p>
        </w:tc>
        <w:tc>
          <w:tcPr>
            <w:tcW w:w="3541" w:type="dxa"/>
            <w:vAlign w:val="top"/>
          </w:tcPr>
          <w:p w14:paraId="0BE3F41B">
            <w:pPr>
              <w:pStyle w:val="11"/>
            </w:pPr>
          </w:p>
        </w:tc>
        <w:tc>
          <w:tcPr>
            <w:tcW w:w="1558" w:type="dxa"/>
            <w:vAlign w:val="top"/>
          </w:tcPr>
          <w:p w14:paraId="060B828D">
            <w:pPr>
              <w:pStyle w:val="11"/>
            </w:pPr>
          </w:p>
        </w:tc>
        <w:tc>
          <w:tcPr>
            <w:tcW w:w="1133" w:type="dxa"/>
            <w:vAlign w:val="top"/>
          </w:tcPr>
          <w:p w14:paraId="78F122D8">
            <w:pPr>
              <w:pStyle w:val="11"/>
            </w:pPr>
          </w:p>
        </w:tc>
        <w:tc>
          <w:tcPr>
            <w:tcW w:w="1138" w:type="dxa"/>
            <w:vAlign w:val="top"/>
          </w:tcPr>
          <w:p w14:paraId="065FD5C0">
            <w:pPr>
              <w:pStyle w:val="11"/>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11"/>
            </w:pPr>
          </w:p>
        </w:tc>
        <w:tc>
          <w:tcPr>
            <w:tcW w:w="3541" w:type="dxa"/>
            <w:vAlign w:val="top"/>
          </w:tcPr>
          <w:p w14:paraId="7EF7890B">
            <w:pPr>
              <w:pStyle w:val="11"/>
            </w:pPr>
          </w:p>
        </w:tc>
        <w:tc>
          <w:tcPr>
            <w:tcW w:w="1558" w:type="dxa"/>
            <w:vAlign w:val="top"/>
          </w:tcPr>
          <w:p w14:paraId="59DF3505">
            <w:pPr>
              <w:pStyle w:val="11"/>
            </w:pPr>
          </w:p>
        </w:tc>
        <w:tc>
          <w:tcPr>
            <w:tcW w:w="1133" w:type="dxa"/>
            <w:vAlign w:val="top"/>
          </w:tcPr>
          <w:p w14:paraId="37DFFC61">
            <w:pPr>
              <w:pStyle w:val="11"/>
            </w:pPr>
          </w:p>
        </w:tc>
        <w:tc>
          <w:tcPr>
            <w:tcW w:w="1138" w:type="dxa"/>
            <w:vAlign w:val="top"/>
          </w:tcPr>
          <w:p w14:paraId="0401BA4F">
            <w:pPr>
              <w:pStyle w:val="11"/>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11"/>
            </w:pPr>
          </w:p>
        </w:tc>
        <w:tc>
          <w:tcPr>
            <w:tcW w:w="3541" w:type="dxa"/>
            <w:vAlign w:val="top"/>
          </w:tcPr>
          <w:p w14:paraId="2144D848">
            <w:pPr>
              <w:pStyle w:val="11"/>
            </w:pPr>
          </w:p>
        </w:tc>
        <w:tc>
          <w:tcPr>
            <w:tcW w:w="1558" w:type="dxa"/>
            <w:vAlign w:val="top"/>
          </w:tcPr>
          <w:p w14:paraId="380B508B">
            <w:pPr>
              <w:pStyle w:val="11"/>
            </w:pPr>
          </w:p>
        </w:tc>
        <w:tc>
          <w:tcPr>
            <w:tcW w:w="1133" w:type="dxa"/>
            <w:vAlign w:val="top"/>
          </w:tcPr>
          <w:p w14:paraId="21C68742">
            <w:pPr>
              <w:pStyle w:val="11"/>
            </w:pPr>
          </w:p>
        </w:tc>
        <w:tc>
          <w:tcPr>
            <w:tcW w:w="1138" w:type="dxa"/>
            <w:vAlign w:val="top"/>
          </w:tcPr>
          <w:p w14:paraId="022B96D0">
            <w:pPr>
              <w:pStyle w:val="11"/>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804390E">
      <w:pPr>
        <w:pStyle w:val="5"/>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1C6A13CB">
      <w:pPr>
        <w:rPr>
          <w:b/>
          <w:bCs/>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DF0">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F487">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3AF487">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7"/>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6"/>
        <w:sz w:val="28"/>
        <w:szCs w:val="28"/>
      </w:rPr>
      <w:t xml:space="preserve">1  </w:t>
    </w:r>
    <w:r>
      <w:rPr>
        <w:rFonts w:ascii="Times New Roman" w:hAnsi="Times New Roman" w:eastAsia="Times New Roman" w:cs="Times New Roman"/>
        <w:spacing w:val="2"/>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15186"/>
    <w:multiLevelType w:val="singleLevel"/>
    <w:tmpl w:val="F1715186"/>
    <w:lvl w:ilvl="0" w:tentative="0">
      <w:start w:val="2"/>
      <w:numFmt w:val="chineseCounting"/>
      <w:suff w:val="nothing"/>
      <w:lvlText w:val="（%1）"/>
      <w:lvlJc w:val="left"/>
      <w:rPr>
        <w:rFonts w:hint="eastAsia"/>
      </w:rPr>
    </w:lvl>
  </w:abstractNum>
  <w:abstractNum w:abstractNumId="1">
    <w:nsid w:val="1A97D30B"/>
    <w:multiLevelType w:val="singleLevel"/>
    <w:tmpl w:val="1A97D30B"/>
    <w:lvl w:ilvl="0" w:tentative="0">
      <w:start w:val="1"/>
      <w:numFmt w:val="decimal"/>
      <w:suff w:val="space"/>
      <w:lvlText w:val="%1."/>
      <w:lvlJc w:val="left"/>
    </w:lvl>
  </w:abstractNum>
  <w:abstractNum w:abstractNumId="2">
    <w:nsid w:val="64DD5288"/>
    <w:multiLevelType w:val="singleLevel"/>
    <w:tmpl w:val="64DD5288"/>
    <w:lvl w:ilvl="0" w:tentative="0">
      <w:start w:val="5"/>
      <w:numFmt w:val="chineseCounting"/>
      <w:suff w:val="space"/>
      <w:lvlText w:val="第%1条"/>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B76409"/>
    <w:rsid w:val="04F217BD"/>
    <w:rsid w:val="05742A02"/>
    <w:rsid w:val="06737E72"/>
    <w:rsid w:val="067803E8"/>
    <w:rsid w:val="076B1838"/>
    <w:rsid w:val="0AF67B2D"/>
    <w:rsid w:val="0B2F4C67"/>
    <w:rsid w:val="0BFF2A12"/>
    <w:rsid w:val="0D894C89"/>
    <w:rsid w:val="13E63266"/>
    <w:rsid w:val="149F5803"/>
    <w:rsid w:val="14E76E65"/>
    <w:rsid w:val="15C42D02"/>
    <w:rsid w:val="16AE750E"/>
    <w:rsid w:val="17FA3052"/>
    <w:rsid w:val="19053D5D"/>
    <w:rsid w:val="193E726F"/>
    <w:rsid w:val="195A31B2"/>
    <w:rsid w:val="1AF3738D"/>
    <w:rsid w:val="1B9D6C20"/>
    <w:rsid w:val="1B9E2247"/>
    <w:rsid w:val="1BBE01F3"/>
    <w:rsid w:val="1CB87339"/>
    <w:rsid w:val="1EBF050A"/>
    <w:rsid w:val="20511636"/>
    <w:rsid w:val="22623C65"/>
    <w:rsid w:val="229A7459"/>
    <w:rsid w:val="24194B61"/>
    <w:rsid w:val="246F29D3"/>
    <w:rsid w:val="264E03AA"/>
    <w:rsid w:val="27C46B92"/>
    <w:rsid w:val="28215D92"/>
    <w:rsid w:val="28577471"/>
    <w:rsid w:val="29261C78"/>
    <w:rsid w:val="29EE0A39"/>
    <w:rsid w:val="2E224612"/>
    <w:rsid w:val="2FB4573E"/>
    <w:rsid w:val="306B4D61"/>
    <w:rsid w:val="31717D8A"/>
    <w:rsid w:val="33F83A46"/>
    <w:rsid w:val="347B0F20"/>
    <w:rsid w:val="3676374D"/>
    <w:rsid w:val="36B44275"/>
    <w:rsid w:val="372E1C71"/>
    <w:rsid w:val="37585548"/>
    <w:rsid w:val="37D972EC"/>
    <w:rsid w:val="396F7875"/>
    <w:rsid w:val="39787172"/>
    <w:rsid w:val="3AE74C19"/>
    <w:rsid w:val="3B331C0C"/>
    <w:rsid w:val="3D7D7AB7"/>
    <w:rsid w:val="3F240D18"/>
    <w:rsid w:val="416A2100"/>
    <w:rsid w:val="418E2292"/>
    <w:rsid w:val="41DC76FF"/>
    <w:rsid w:val="48295388"/>
    <w:rsid w:val="4893018E"/>
    <w:rsid w:val="48FB5D34"/>
    <w:rsid w:val="49363FF8"/>
    <w:rsid w:val="49667651"/>
    <w:rsid w:val="49FC1D63"/>
    <w:rsid w:val="4CCE79E7"/>
    <w:rsid w:val="4CDD12A8"/>
    <w:rsid w:val="4D4001B9"/>
    <w:rsid w:val="4EAC3D58"/>
    <w:rsid w:val="4F135B85"/>
    <w:rsid w:val="4F2E29BF"/>
    <w:rsid w:val="55AF3AB7"/>
    <w:rsid w:val="573963A5"/>
    <w:rsid w:val="57AA1051"/>
    <w:rsid w:val="592117E6"/>
    <w:rsid w:val="59620A61"/>
    <w:rsid w:val="5BAC35E9"/>
    <w:rsid w:val="5BC07095"/>
    <w:rsid w:val="5BCB6CFF"/>
    <w:rsid w:val="5E3B0C54"/>
    <w:rsid w:val="61D90EB0"/>
    <w:rsid w:val="62774225"/>
    <w:rsid w:val="63055C5C"/>
    <w:rsid w:val="630B1766"/>
    <w:rsid w:val="63E1229E"/>
    <w:rsid w:val="66FB53AA"/>
    <w:rsid w:val="68B6001A"/>
    <w:rsid w:val="6A701C86"/>
    <w:rsid w:val="6A81562A"/>
    <w:rsid w:val="6B910ACF"/>
    <w:rsid w:val="6C5F6456"/>
    <w:rsid w:val="6D6C2BD8"/>
    <w:rsid w:val="6DD662A4"/>
    <w:rsid w:val="6E45127E"/>
    <w:rsid w:val="729E0D7D"/>
    <w:rsid w:val="76A74C81"/>
    <w:rsid w:val="794C1942"/>
    <w:rsid w:val="79A33E26"/>
    <w:rsid w:val="79F301DD"/>
    <w:rsid w:val="7AC628BE"/>
    <w:rsid w:val="7C7E0232"/>
    <w:rsid w:val="7D3E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footer"/>
    <w:basedOn w:val="1"/>
    <w:qFormat/>
    <w:uiPriority w:val="0"/>
    <w:pPr>
      <w:tabs>
        <w:tab w:val="center" w:pos="4153"/>
        <w:tab w:val="right" w:pos="8306"/>
      </w:tabs>
    </w:pPr>
    <w:rPr>
      <w:sz w:val="18"/>
    </w:rPr>
  </w:style>
  <w:style w:type="character" w:customStyle="1" w:styleId="9">
    <w:name w:val="标题 4 Char"/>
    <w:link w:val="4"/>
    <w:qFormat/>
    <w:uiPriority w:val="0"/>
    <w:rPr>
      <w:rFonts w:ascii="Arial" w:hAnsi="Arial" w:eastAsia="黑体"/>
      <w:b/>
      <w:sz w:val="2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2647</Words>
  <Characters>2782</Characters>
  <Lines>0</Lines>
  <Paragraphs>0</Paragraphs>
  <TotalTime>0</TotalTime>
  <ScaleCrop>false</ScaleCrop>
  <LinksUpToDate>false</LinksUpToDate>
  <CharactersWithSpaces>3693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文弱书生</cp:lastModifiedBy>
  <dcterms:modified xsi:type="dcterms:W3CDTF">2026-03-12T10:49:39Z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BF7FD2F3D0CA46A5B3BDD3AD58198064_13</vt:lpwstr>
  </property>
  <property fmtid="{D5CDD505-2E9C-101B-9397-08002B2CF9AE}" pid="4" name="KSOTemplateDocerSaveRecord">
    <vt:lpwstr>eyJoZGlkIjoiY2JlY2VhNmU4ODJlYzJjNGMzMGFkODQ5NjJhOTg3YTAiLCJ1c2VySWQiOiIyODQ1OTU3NTYifQ==</vt:lpwstr>
  </property>
</Properties>
</file>