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安远县电商快递物流园1-4#2F203室租赁项目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安远县电商快递物流园1-4#2F203室租赁项目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安远县电商快递物流园1-4#2F203</w:t>
      </w:r>
      <w:bookmarkStart w:id="0" w:name="_GoBack"/>
      <w:bookmarkEnd w:id="0"/>
      <w:r>
        <w:rPr>
          <w:rFonts w:hint="eastAsia" w:ascii="仿宋_GB2312" w:hAnsi="仿宋_GB2312" w:eastAsia="仿宋_GB2312" w:cs="仿宋_GB2312"/>
          <w:sz w:val="32"/>
          <w:szCs w:val="32"/>
          <w:highlight w:val="none"/>
          <w:u w:val="single" w:color="auto"/>
          <w:rtl w:val="0"/>
          <w:lang w:val="en-US" w:eastAsia="zh-CN"/>
        </w:rPr>
        <w:t xml:space="preserve">室租赁项目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B2CD9B4">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0305F8BD">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5E7F0EB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2026年</w:t>
      </w:r>
      <w:r>
        <w:rPr>
          <w:rFonts w:hint="eastAsia" w:ascii="方正小标宋简体" w:hAnsi="方正小标宋简体" w:eastAsia="方正小标宋简体" w:cs="方正小标宋简体"/>
          <w:color w:val="000000"/>
          <w:sz w:val="44"/>
          <w:szCs w:val="44"/>
        </w:rPr>
        <w:t>安远县农村产权交易服务收费标准</w:t>
      </w:r>
    </w:p>
    <w:p w14:paraId="1F580CAB">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bidi="ar"/>
        </w:rPr>
        <w:t>（</w:t>
      </w:r>
      <w:r>
        <w:rPr>
          <w:rFonts w:hint="eastAsia" w:ascii="仿宋_GB2312" w:hAnsi="仿宋_GB2312" w:eastAsia="仿宋_GB2312" w:cs="仿宋_GB2312"/>
          <w:b w:val="0"/>
          <w:bCs w:val="0"/>
          <w:color w:val="000000"/>
          <w:kern w:val="0"/>
          <w:sz w:val="32"/>
          <w:szCs w:val="32"/>
          <w:lang w:val="en-US" w:eastAsia="zh-CN" w:bidi="ar"/>
        </w:rPr>
        <w:t>该标准</w:t>
      </w:r>
      <w:r>
        <w:rPr>
          <w:rFonts w:hint="eastAsia" w:ascii="仿宋_GB2312" w:hAnsi="仿宋_GB2312" w:eastAsia="仿宋_GB2312" w:cs="仿宋_GB2312"/>
          <w:b w:val="0"/>
          <w:bCs w:val="0"/>
          <w:color w:val="000000"/>
          <w:kern w:val="0"/>
          <w:sz w:val="32"/>
          <w:szCs w:val="32"/>
          <w:highlight w:val="none"/>
          <w:lang w:val="en-US" w:eastAsia="zh-CN" w:bidi="ar"/>
        </w:rPr>
        <w:t>于2026年4月1日开始实</w:t>
      </w:r>
      <w:r>
        <w:rPr>
          <w:rFonts w:hint="eastAsia" w:ascii="仿宋_GB2312" w:hAnsi="仿宋_GB2312" w:eastAsia="仿宋_GB2312" w:cs="仿宋_GB2312"/>
          <w:b w:val="0"/>
          <w:bCs w:val="0"/>
          <w:color w:val="000000"/>
          <w:kern w:val="0"/>
          <w:sz w:val="32"/>
          <w:szCs w:val="32"/>
          <w:lang w:val="en-US" w:eastAsia="zh-CN" w:bidi="ar"/>
        </w:rPr>
        <w:t>行</w:t>
      </w:r>
      <w:r>
        <w:rPr>
          <w:rFonts w:hint="eastAsia" w:ascii="仿宋_GB2312" w:hAnsi="仿宋_GB2312" w:eastAsia="仿宋_GB2312" w:cs="仿宋_GB2312"/>
          <w:b w:val="0"/>
          <w:bCs w:val="0"/>
          <w:color w:val="000000"/>
          <w:kern w:val="0"/>
          <w:sz w:val="32"/>
          <w:szCs w:val="32"/>
          <w:lang w:bidi="ar"/>
        </w:rPr>
        <w:t>）</w:t>
      </w:r>
    </w:p>
    <w:tbl>
      <w:tblPr>
        <w:tblStyle w:val="5"/>
        <w:tblW w:w="9000" w:type="dxa"/>
        <w:tblInd w:w="96" w:type="dxa"/>
        <w:tblLayout w:type="autofit"/>
        <w:tblCellMar>
          <w:top w:w="0" w:type="dxa"/>
          <w:left w:w="108" w:type="dxa"/>
          <w:bottom w:w="0" w:type="dxa"/>
          <w:right w:w="108" w:type="dxa"/>
        </w:tblCellMar>
      </w:tblPr>
      <w:tblGrid>
        <w:gridCol w:w="3823"/>
        <w:gridCol w:w="5177"/>
      </w:tblGrid>
      <w:tr w14:paraId="79198C62">
        <w:tblPrEx>
          <w:tblCellMar>
            <w:top w:w="0" w:type="dxa"/>
            <w:left w:w="108" w:type="dxa"/>
            <w:bottom w:w="0" w:type="dxa"/>
            <w:right w:w="108" w:type="dxa"/>
          </w:tblCellMar>
        </w:tblPrEx>
        <w:trPr>
          <w:trHeight w:val="741" w:hRule="atLeast"/>
        </w:trPr>
        <w:tc>
          <w:tcPr>
            <w:tcW w:w="90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3B2561">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bidi="ar"/>
              </w:rPr>
              <w:t>安远县</w:t>
            </w:r>
            <w:r>
              <w:rPr>
                <w:rFonts w:hint="eastAsia" w:ascii="仿宋_GB2312" w:hAnsi="仿宋_GB2312" w:eastAsia="仿宋_GB2312" w:cs="仿宋_GB2312"/>
                <w:b/>
                <w:bCs/>
                <w:color w:val="000000"/>
                <w:kern w:val="0"/>
                <w:sz w:val="24"/>
                <w:szCs w:val="24"/>
                <w:lang w:bidi="ar"/>
              </w:rPr>
              <w:t>农村产权交易中心</w:t>
            </w:r>
            <w:r>
              <w:rPr>
                <w:rFonts w:hint="eastAsia" w:ascii="仿宋_GB2312" w:hAnsi="仿宋_GB2312" w:eastAsia="仿宋_GB2312" w:cs="仿宋_GB2312"/>
                <w:b/>
                <w:bCs/>
                <w:color w:val="000000"/>
                <w:kern w:val="0"/>
                <w:sz w:val="24"/>
                <w:szCs w:val="24"/>
                <w:lang w:val="en-US" w:eastAsia="zh-CN" w:bidi="ar"/>
              </w:rPr>
              <w:t>产权</w:t>
            </w:r>
            <w:r>
              <w:rPr>
                <w:rFonts w:hint="eastAsia" w:ascii="仿宋_GB2312" w:hAnsi="仿宋_GB2312" w:eastAsia="仿宋_GB2312" w:cs="仿宋_GB2312"/>
                <w:b/>
                <w:bCs/>
                <w:color w:val="000000"/>
                <w:kern w:val="0"/>
                <w:sz w:val="24"/>
                <w:szCs w:val="24"/>
                <w:lang w:bidi="ar"/>
              </w:rPr>
              <w:t>交易服务收费标准</w:t>
            </w:r>
            <w:r>
              <w:rPr>
                <w:rFonts w:hint="eastAsia" w:ascii="仿宋_GB2312" w:hAnsi="仿宋_GB2312" w:eastAsia="仿宋_GB2312" w:cs="仿宋_GB2312"/>
                <w:b/>
                <w:bCs/>
                <w:color w:val="000000"/>
                <w:kern w:val="0"/>
                <w:sz w:val="24"/>
                <w:szCs w:val="24"/>
                <w:lang w:eastAsia="zh-CN" w:bidi="ar"/>
              </w:rPr>
              <w:t>（</w:t>
            </w:r>
            <w:r>
              <w:rPr>
                <w:rFonts w:hint="eastAsia" w:ascii="仿宋_GB2312" w:hAnsi="仿宋_GB2312" w:eastAsia="仿宋_GB2312" w:cs="仿宋_GB2312"/>
                <w:b/>
                <w:bCs/>
                <w:color w:val="000000"/>
                <w:kern w:val="0"/>
                <w:sz w:val="24"/>
                <w:szCs w:val="24"/>
                <w:lang w:val="en-US" w:eastAsia="zh-CN" w:bidi="ar"/>
              </w:rPr>
              <w:t>土地使用权类</w:t>
            </w:r>
            <w:r>
              <w:rPr>
                <w:rFonts w:hint="eastAsia" w:ascii="仿宋_GB2312" w:hAnsi="仿宋_GB2312" w:eastAsia="仿宋_GB2312" w:cs="仿宋_GB2312"/>
                <w:b/>
                <w:bCs/>
                <w:color w:val="000000"/>
                <w:kern w:val="0"/>
                <w:sz w:val="24"/>
                <w:szCs w:val="24"/>
                <w:lang w:eastAsia="zh-CN" w:bidi="ar"/>
              </w:rPr>
              <w:t>）</w:t>
            </w:r>
          </w:p>
        </w:tc>
      </w:tr>
      <w:tr w14:paraId="57717990">
        <w:tblPrEx>
          <w:tblCellMar>
            <w:top w:w="0" w:type="dxa"/>
            <w:left w:w="108" w:type="dxa"/>
            <w:bottom w:w="0" w:type="dxa"/>
            <w:right w:w="108" w:type="dxa"/>
          </w:tblCellMar>
        </w:tblPrEx>
        <w:trPr>
          <w:trHeight w:val="727" w:hRule="atLeast"/>
        </w:trPr>
        <w:tc>
          <w:tcPr>
            <w:tcW w:w="9000"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2C8A6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按差额定律累进计费方式计费（流转租金总价款）</w:t>
            </w:r>
          </w:p>
        </w:tc>
      </w:tr>
      <w:tr w14:paraId="6C2D2342">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shd w:val="clear" w:color="auto" w:fill="FFFFFF"/>
            <w:noWrap w:val="0"/>
            <w:vAlign w:val="center"/>
          </w:tcPr>
          <w:p w14:paraId="05170CB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交易金额（万元）</w:t>
            </w:r>
          </w:p>
        </w:tc>
        <w:tc>
          <w:tcPr>
            <w:tcW w:w="5177" w:type="dxa"/>
            <w:tcBorders>
              <w:top w:val="single" w:color="000000" w:sz="8" w:space="0"/>
              <w:left w:val="nil"/>
              <w:bottom w:val="single" w:color="000000" w:sz="8" w:space="0"/>
              <w:right w:val="single" w:color="000000" w:sz="8" w:space="0"/>
            </w:tcBorders>
            <w:shd w:val="clear" w:color="auto" w:fill="FFFFFF"/>
            <w:noWrap w:val="0"/>
            <w:vAlign w:val="center"/>
          </w:tcPr>
          <w:p w14:paraId="17F64D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bidi="ar"/>
              </w:rPr>
              <w:t>公开竞价（含线上）</w:t>
            </w:r>
            <w:r>
              <w:rPr>
                <w:rFonts w:hint="eastAsia" w:ascii="仿宋_GB2312" w:hAnsi="仿宋_GB2312" w:eastAsia="仿宋_GB2312" w:cs="仿宋_GB2312"/>
                <w:b/>
                <w:bCs/>
                <w:color w:val="000000"/>
                <w:kern w:val="0"/>
                <w:sz w:val="24"/>
                <w:szCs w:val="24"/>
                <w:lang w:val="en-US" w:eastAsia="zh-CN" w:bidi="ar"/>
              </w:rPr>
              <w:t>交易</w:t>
            </w:r>
          </w:p>
        </w:tc>
      </w:tr>
      <w:tr w14:paraId="05528A7D">
        <w:tblPrEx>
          <w:tblCellMar>
            <w:top w:w="0" w:type="dxa"/>
            <w:left w:w="108" w:type="dxa"/>
            <w:bottom w:w="0" w:type="dxa"/>
            <w:right w:w="108" w:type="dxa"/>
          </w:tblCellMar>
        </w:tblPrEx>
        <w:trPr>
          <w:trHeight w:val="664" w:hRule="atLeast"/>
        </w:trPr>
        <w:tc>
          <w:tcPr>
            <w:tcW w:w="3823" w:type="dxa"/>
            <w:tcBorders>
              <w:top w:val="single" w:color="000000" w:sz="8" w:space="0"/>
              <w:left w:val="single" w:color="000000" w:sz="8" w:space="0"/>
              <w:bottom w:val="single" w:color="000000" w:sz="8" w:space="0"/>
              <w:right w:val="single" w:color="000000" w:sz="8" w:space="0"/>
            </w:tcBorders>
            <w:noWrap w:val="0"/>
            <w:vAlign w:val="center"/>
          </w:tcPr>
          <w:p w14:paraId="116FCE5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10以下（含10）</w:t>
            </w:r>
          </w:p>
        </w:tc>
        <w:tc>
          <w:tcPr>
            <w:tcW w:w="5177" w:type="dxa"/>
            <w:tcBorders>
              <w:top w:val="single" w:color="000000" w:sz="8" w:space="0"/>
              <w:left w:val="nil"/>
              <w:bottom w:val="single" w:color="000000" w:sz="8" w:space="0"/>
              <w:right w:val="single" w:color="000000" w:sz="8" w:space="0"/>
            </w:tcBorders>
            <w:noWrap w:val="0"/>
            <w:vAlign w:val="center"/>
          </w:tcPr>
          <w:p w14:paraId="0D521D0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w:t>
            </w:r>
            <w:r>
              <w:rPr>
                <w:rFonts w:hint="eastAsia" w:ascii="仿宋_GB2312" w:hAnsi="仿宋_GB2312" w:eastAsia="仿宋_GB2312" w:cs="仿宋_GB2312"/>
                <w:b w:val="0"/>
                <w:bCs w:val="0"/>
                <w:color w:val="000000"/>
                <w:kern w:val="0"/>
                <w:sz w:val="24"/>
                <w:szCs w:val="24"/>
                <w:lang w:val="en-US" w:eastAsia="zh-CN" w:bidi="ar"/>
              </w:rPr>
              <w:t>0</w:t>
            </w:r>
            <w:r>
              <w:rPr>
                <w:rFonts w:hint="eastAsia" w:ascii="仿宋_GB2312" w:hAnsi="仿宋_GB2312" w:eastAsia="仿宋_GB2312" w:cs="仿宋_GB2312"/>
                <w:b w:val="0"/>
                <w:bCs w:val="0"/>
                <w:color w:val="000000"/>
                <w:kern w:val="0"/>
                <w:sz w:val="24"/>
                <w:szCs w:val="24"/>
                <w:lang w:bidi="ar"/>
              </w:rPr>
              <w:t>0%</w:t>
            </w:r>
          </w:p>
        </w:tc>
      </w:tr>
      <w:tr w14:paraId="7F9EDA72">
        <w:tblPrEx>
          <w:tblCellMar>
            <w:top w:w="0" w:type="dxa"/>
            <w:left w:w="108" w:type="dxa"/>
            <w:bottom w:w="0" w:type="dxa"/>
            <w:right w:w="108" w:type="dxa"/>
          </w:tblCellMar>
        </w:tblPrEx>
        <w:trPr>
          <w:trHeight w:val="653" w:hRule="atLeast"/>
        </w:trPr>
        <w:tc>
          <w:tcPr>
            <w:tcW w:w="3823" w:type="dxa"/>
            <w:tcBorders>
              <w:top w:val="nil"/>
              <w:left w:val="single" w:color="000000" w:sz="8" w:space="0"/>
              <w:bottom w:val="single" w:color="000000" w:sz="8" w:space="0"/>
              <w:right w:val="single" w:color="000000" w:sz="8" w:space="0"/>
            </w:tcBorders>
            <w:noWrap w:val="0"/>
            <w:vAlign w:val="center"/>
          </w:tcPr>
          <w:p w14:paraId="1C131C7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10-50（含50）</w:t>
            </w:r>
          </w:p>
        </w:tc>
        <w:tc>
          <w:tcPr>
            <w:tcW w:w="5177" w:type="dxa"/>
            <w:tcBorders>
              <w:top w:val="nil"/>
              <w:left w:val="nil"/>
              <w:bottom w:val="single" w:color="000000" w:sz="8" w:space="0"/>
              <w:right w:val="single" w:color="000000" w:sz="8" w:space="0"/>
            </w:tcBorders>
            <w:noWrap w:val="0"/>
            <w:vAlign w:val="center"/>
          </w:tcPr>
          <w:p w14:paraId="7C7EF75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val="en-US" w:eastAsia="zh-CN" w:bidi="ar"/>
              </w:rPr>
              <w:t>0.90</w:t>
            </w:r>
            <w:r>
              <w:rPr>
                <w:rFonts w:hint="eastAsia" w:ascii="仿宋_GB2312" w:hAnsi="仿宋_GB2312" w:eastAsia="仿宋_GB2312" w:cs="仿宋_GB2312"/>
                <w:b w:val="0"/>
                <w:bCs w:val="0"/>
                <w:color w:val="000000"/>
                <w:kern w:val="0"/>
                <w:sz w:val="24"/>
                <w:szCs w:val="24"/>
                <w:lang w:bidi="ar"/>
              </w:rPr>
              <w:t>%</w:t>
            </w:r>
          </w:p>
        </w:tc>
      </w:tr>
      <w:tr w14:paraId="048BCB45">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6ECF818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50-100（含100）</w:t>
            </w:r>
          </w:p>
        </w:tc>
        <w:tc>
          <w:tcPr>
            <w:tcW w:w="5177" w:type="dxa"/>
            <w:tcBorders>
              <w:top w:val="nil"/>
              <w:left w:val="nil"/>
              <w:bottom w:val="single" w:color="000000" w:sz="8" w:space="0"/>
              <w:right w:val="single" w:color="000000" w:sz="8" w:space="0"/>
            </w:tcBorders>
            <w:noWrap w:val="0"/>
            <w:vAlign w:val="center"/>
          </w:tcPr>
          <w:p w14:paraId="0B344E02">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7</w:t>
            </w:r>
            <w:r>
              <w:rPr>
                <w:rFonts w:hint="eastAsia" w:ascii="仿宋_GB2312" w:hAnsi="仿宋_GB2312" w:eastAsia="仿宋_GB2312" w:cs="仿宋_GB2312"/>
                <w:b w:val="0"/>
                <w:bCs w:val="0"/>
                <w:color w:val="000000"/>
                <w:kern w:val="0"/>
                <w:sz w:val="24"/>
                <w:szCs w:val="24"/>
                <w:lang w:bidi="ar"/>
              </w:rPr>
              <w:t>0%</w:t>
            </w:r>
          </w:p>
        </w:tc>
      </w:tr>
      <w:tr w14:paraId="6BA0F82B">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68206B1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100-500（含500）</w:t>
            </w:r>
          </w:p>
        </w:tc>
        <w:tc>
          <w:tcPr>
            <w:tcW w:w="5177" w:type="dxa"/>
            <w:tcBorders>
              <w:top w:val="nil"/>
              <w:left w:val="nil"/>
              <w:bottom w:val="single" w:color="000000" w:sz="8" w:space="0"/>
              <w:right w:val="single" w:color="000000" w:sz="8" w:space="0"/>
            </w:tcBorders>
            <w:noWrap w:val="0"/>
            <w:vAlign w:val="center"/>
          </w:tcPr>
          <w:p w14:paraId="07514A5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kern w:val="0"/>
                <w:sz w:val="24"/>
                <w:szCs w:val="24"/>
                <w:lang w:bidi="ar"/>
              </w:rPr>
              <w:t>0%</w:t>
            </w:r>
          </w:p>
        </w:tc>
      </w:tr>
      <w:tr w14:paraId="3B5F865F">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711AC56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500-1000（含1000）</w:t>
            </w:r>
          </w:p>
        </w:tc>
        <w:tc>
          <w:tcPr>
            <w:tcW w:w="5177" w:type="dxa"/>
            <w:tcBorders>
              <w:top w:val="nil"/>
              <w:left w:val="nil"/>
              <w:bottom w:val="single" w:color="000000" w:sz="8" w:space="0"/>
              <w:right w:val="single" w:color="000000" w:sz="8" w:space="0"/>
            </w:tcBorders>
            <w:noWrap w:val="0"/>
            <w:vAlign w:val="center"/>
          </w:tcPr>
          <w:p w14:paraId="297F7B9E">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0%</w:t>
            </w:r>
          </w:p>
        </w:tc>
      </w:tr>
      <w:tr w14:paraId="2FE7F892">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44A705F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1000-2000（含2000）</w:t>
            </w:r>
          </w:p>
        </w:tc>
        <w:tc>
          <w:tcPr>
            <w:tcW w:w="5177" w:type="dxa"/>
            <w:tcBorders>
              <w:top w:val="nil"/>
              <w:left w:val="nil"/>
              <w:bottom w:val="single" w:color="000000" w:sz="8" w:space="0"/>
              <w:right w:val="single" w:color="000000" w:sz="8" w:space="0"/>
            </w:tcBorders>
            <w:noWrap w:val="0"/>
            <w:vAlign w:val="center"/>
          </w:tcPr>
          <w:p w14:paraId="0FC35E2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bidi="ar"/>
              </w:rPr>
              <w:t>5%</w:t>
            </w:r>
          </w:p>
        </w:tc>
      </w:tr>
      <w:tr w14:paraId="63908271">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18B1678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2000万以上</w:t>
            </w:r>
          </w:p>
        </w:tc>
        <w:tc>
          <w:tcPr>
            <w:tcW w:w="5177" w:type="dxa"/>
            <w:tcBorders>
              <w:top w:val="nil"/>
              <w:left w:val="nil"/>
              <w:bottom w:val="single" w:color="000000" w:sz="8" w:space="0"/>
              <w:right w:val="single" w:color="000000" w:sz="8" w:space="0"/>
            </w:tcBorders>
            <w:noWrap w:val="0"/>
            <w:vAlign w:val="center"/>
          </w:tcPr>
          <w:p w14:paraId="51B49669">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0.10%</w:t>
            </w:r>
          </w:p>
        </w:tc>
      </w:tr>
      <w:tr w14:paraId="2F9A3C86">
        <w:tblPrEx>
          <w:tblCellMar>
            <w:top w:w="0" w:type="dxa"/>
            <w:left w:w="108" w:type="dxa"/>
            <w:bottom w:w="0" w:type="dxa"/>
            <w:right w:w="108" w:type="dxa"/>
          </w:tblCellMar>
        </w:tblPrEx>
        <w:trPr>
          <w:trHeight w:val="4541" w:hRule="atLeast"/>
        </w:trPr>
        <w:tc>
          <w:tcPr>
            <w:tcW w:w="9000" w:type="dxa"/>
            <w:gridSpan w:val="2"/>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2174CCB">
            <w:pPr>
              <w:widowControl/>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备注：</w:t>
            </w:r>
          </w:p>
          <w:p w14:paraId="5FF34496">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1</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以成交金额为基数，按差额定律累进计费方式计费</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面向受让方收取。</w:t>
            </w:r>
          </w:p>
          <w:p w14:paraId="0D588351">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2</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每笔交易服务费最低收费200元；历史审查鉴证及工本费用80元每本。</w:t>
            </w:r>
          </w:p>
          <w:p w14:paraId="541918EF">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3</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转出方为农户个人或者村集体，免收转出方该项费用。</w:t>
            </w:r>
          </w:p>
          <w:p w14:paraId="056EB9EE">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4</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为坚持“公益性”最大化原则，降低交易双方相关服务费成本，故不单独划分协议成交服务费及竞价成交服务费。</w:t>
            </w:r>
          </w:p>
          <w:p w14:paraId="3905490C">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5.农村产权交易</w:t>
            </w:r>
            <w:r>
              <w:rPr>
                <w:rFonts w:hint="eastAsia" w:ascii="仿宋_GB2312" w:hAnsi="仿宋_GB2312" w:eastAsia="仿宋_GB2312" w:cs="仿宋_GB2312"/>
                <w:b w:val="0"/>
                <w:bCs w:val="0"/>
                <w:color w:val="000000"/>
                <w:kern w:val="0"/>
                <w:sz w:val="24"/>
                <w:szCs w:val="24"/>
                <w:highlight w:val="none"/>
                <w:lang w:bidi="ar"/>
              </w:rPr>
              <w:t>包括：农户承包土地经营权、林权、果园经营权、“四荒”使用权、农村集体资源型资产经营权、农村集体经营性资产经营权、农村闲置宅基地使用权</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住宅转让</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小额采购和小微工程采购</w:t>
            </w:r>
            <w:r>
              <w:rPr>
                <w:rFonts w:hint="eastAsia" w:ascii="仿宋_GB2312" w:hAnsi="仿宋_GB2312" w:eastAsia="仿宋_GB2312" w:cs="仿宋_GB2312"/>
                <w:b w:val="0"/>
                <w:bCs w:val="0"/>
                <w:color w:val="000000"/>
                <w:kern w:val="0"/>
                <w:sz w:val="24"/>
                <w:szCs w:val="24"/>
                <w:highlight w:val="none"/>
                <w:lang w:bidi="ar"/>
              </w:rPr>
              <w:t>等。</w:t>
            </w:r>
          </w:p>
          <w:p w14:paraId="5FAAEAD8">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6.国有资产租赁</w:t>
            </w:r>
            <w:r>
              <w:rPr>
                <w:rFonts w:hint="eastAsia" w:ascii="仿宋_GB2312" w:hAnsi="仿宋_GB2312" w:eastAsia="仿宋_GB2312" w:cs="仿宋_GB2312"/>
                <w:b w:val="0"/>
                <w:bCs w:val="0"/>
                <w:color w:val="000000"/>
                <w:kern w:val="0"/>
                <w:sz w:val="24"/>
                <w:szCs w:val="24"/>
                <w:highlight w:val="none"/>
                <w:lang w:bidi="ar"/>
              </w:rPr>
              <w:t>包括</w:t>
            </w:r>
            <w:r>
              <w:rPr>
                <w:rFonts w:hint="eastAsia" w:ascii="仿宋_GB2312" w:hAnsi="仿宋_GB2312" w:eastAsia="仿宋_GB2312" w:cs="仿宋_GB2312"/>
                <w:b w:val="0"/>
                <w:bCs w:val="0"/>
                <w:color w:val="000000"/>
                <w:kern w:val="0"/>
                <w:sz w:val="24"/>
                <w:szCs w:val="24"/>
                <w:highlight w:val="none"/>
                <w:lang w:val="en-US" w:eastAsia="zh-CN" w:bidi="ar"/>
              </w:rPr>
              <w:t>：管理房产(含地下建筑物)等不动产以及机器设备、车辆等动产，以成交金额为基数，面向转让方和受让方双向收取，其中受让方需支付实地勘察费300元/户。</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F67AE1"/>
    <w:rsid w:val="07697D31"/>
    <w:rsid w:val="0A2202CC"/>
    <w:rsid w:val="0B4E34C6"/>
    <w:rsid w:val="0BB14140"/>
    <w:rsid w:val="11FF1DAE"/>
    <w:rsid w:val="12D404D2"/>
    <w:rsid w:val="15022229"/>
    <w:rsid w:val="15B8610B"/>
    <w:rsid w:val="16227A29"/>
    <w:rsid w:val="16CC45CE"/>
    <w:rsid w:val="18E5713F"/>
    <w:rsid w:val="19763FD2"/>
    <w:rsid w:val="1C6E2E49"/>
    <w:rsid w:val="1D632E00"/>
    <w:rsid w:val="1EA062D6"/>
    <w:rsid w:val="1FC15CC5"/>
    <w:rsid w:val="208409CB"/>
    <w:rsid w:val="233A4603"/>
    <w:rsid w:val="253B0B2E"/>
    <w:rsid w:val="25DF1492"/>
    <w:rsid w:val="28013942"/>
    <w:rsid w:val="2BA06EDF"/>
    <w:rsid w:val="2CE77338"/>
    <w:rsid w:val="2CF27E3B"/>
    <w:rsid w:val="303D0F29"/>
    <w:rsid w:val="311245A1"/>
    <w:rsid w:val="3269113C"/>
    <w:rsid w:val="34C71B41"/>
    <w:rsid w:val="34FE10A6"/>
    <w:rsid w:val="38851BFC"/>
    <w:rsid w:val="3A8D4F36"/>
    <w:rsid w:val="3B27789D"/>
    <w:rsid w:val="3C5B0B93"/>
    <w:rsid w:val="3C8D17F0"/>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F3E6C4E"/>
    <w:rsid w:val="64137F7D"/>
    <w:rsid w:val="64B22C03"/>
    <w:rsid w:val="65FF6A0B"/>
    <w:rsid w:val="66BB7D1F"/>
    <w:rsid w:val="67062A52"/>
    <w:rsid w:val="684C6D1E"/>
    <w:rsid w:val="688C3563"/>
    <w:rsid w:val="6A55309E"/>
    <w:rsid w:val="6B0F149F"/>
    <w:rsid w:val="6BF27CC7"/>
    <w:rsid w:val="6CF941B4"/>
    <w:rsid w:val="6DD70B4F"/>
    <w:rsid w:val="6F571B06"/>
    <w:rsid w:val="700E0113"/>
    <w:rsid w:val="7049430D"/>
    <w:rsid w:val="71924524"/>
    <w:rsid w:val="71F27F57"/>
    <w:rsid w:val="73022C2A"/>
    <w:rsid w:val="748F3C31"/>
    <w:rsid w:val="74AF784E"/>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1414</Words>
  <Characters>1552</Characters>
  <Lines>0</Lines>
  <Paragraphs>0</Paragraphs>
  <TotalTime>5</TotalTime>
  <ScaleCrop>false</ScaleCrop>
  <LinksUpToDate>false</LinksUpToDate>
  <CharactersWithSpaces>1573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2026-03-31T01:01:08Z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FDF4FD2E1F6F4BFB983AAEF736E695A4_13</vt:lpwstr>
  </property>
  <property fmtid="{D5CDD505-2E9C-101B-9397-08002B2CF9AE}" pid="4" name="KSOTemplateDocerSaveRecord">
    <vt:lpwstr>eyJoZGlkIjoiNjM1ZDYxMzkyOWM2YTJkODZmMjcxN2RiNWU5Mzc2MWUiLCJ1c2VySWQiOiI4MTYxMjQ5NTkifQ==</vt:lpwstr>
  </property>
</Properties>
</file>